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6C7A13" w:rsidRPr="0079044F" w:rsidRDefault="00DD1D13" w:rsidP="006C7A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r w:rsidR="006C7A13">
        <w:rPr>
          <w:rFonts w:ascii="Calibri Light" w:hAnsi="Calibri Light" w:cs="Calibri Light"/>
          <w:sz w:val="24"/>
          <w:szCs w:val="24"/>
        </w:rPr>
        <w:t xml:space="preserve">Spectra Silent-wDL Serie:  </w:t>
      </w:r>
      <w:r w:rsidR="006C7A13" w:rsidRPr="006B77AF">
        <w:rPr>
          <w:rFonts w:ascii="Calibri Light" w:hAnsi="Calibri Light" w:cs="Calibri Light"/>
          <w:sz w:val="24"/>
          <w:szCs w:val="24"/>
        </w:rPr>
        <w:t>Rundum geschützte Panel-PC Serie</w:t>
      </w:r>
    </w:p>
    <w:p w:rsidR="006C7A13" w:rsidRPr="00DD1D13" w:rsidRDefault="006C7A13" w:rsidP="006C7A13">
      <w:pPr>
        <w:rPr>
          <w:rFonts w:asciiTheme="minorHAnsi" w:hAnsiTheme="minorHAnsi" w:cstheme="minorHAnsi"/>
          <w:sz w:val="24"/>
          <w:szCs w:val="24"/>
        </w:rPr>
      </w:pPr>
    </w:p>
    <w:p w:rsidR="006C7A13" w:rsidRPr="00DD1D13" w:rsidRDefault="006C7A13" w:rsidP="006C7A13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6B77AF">
        <w:rPr>
          <w:rFonts w:asciiTheme="minorHAnsi" w:hAnsiTheme="minorHAnsi" w:cstheme="minorHAnsi"/>
          <w:b/>
          <w:bCs/>
          <w:color w:val="00509F"/>
          <w:sz w:val="28"/>
          <w:szCs w:val="28"/>
        </w:rPr>
        <w:t>Robustheit und Eleganz in Einem</w:t>
      </w:r>
    </w:p>
    <w:p w:rsidR="006C7A13" w:rsidRPr="00DD1D13" w:rsidRDefault="006C7A13" w:rsidP="006C7A13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6C7A13" w:rsidRPr="006B77AF" w:rsidRDefault="006C7A13" w:rsidP="006C7A1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Industrielle Panel-PC mit IP65-Schutzklasse haben sich seit langem als zuverlässige und robuste Bediengeräte für die Steuerung von Maschinen und Anlagen in widrigen Produktionsumgebungen etabliert. Die IP65-Schutzklasse bedeutet, dass das Gerät staubdicht und gegen Strahlwasser aus beliebigem Winkel geschützt ist und somit Feuchtigkeit, Schmutz und Staub problemlos widersteht.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</w:p>
    <w:p w:rsidR="006C7A13" w:rsidRPr="006B77AF" w:rsidRDefault="006C7A13" w:rsidP="006C7A1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Die industriellen Panel-PC der Spectra Silent-wDL Serie entsprechen genau diesem Standard und überzeugen zusätzlich durch ihre Eleganz auf Grund des schlanken Design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und der planen Front des Aluminiumgehäuses.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Die neueste Generation ist mit einem Core i5-1145G7E Prozessor und 8 GB Arbeitsspeicher ausgestattet. Der leistungsstarke Prozessor arbeitet mit einer TPD von lediglich 15 W. Dank eines intelligenten Kühlkonzepts kommt der Panel-PC völlig ohne Lüfter aus.</w:t>
      </w:r>
    </w:p>
    <w:p w:rsidR="006C7A13" w:rsidRPr="006B77AF" w:rsidRDefault="006C7A13" w:rsidP="006C7A1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Es stehen sechs Modelle mit Bildschirmdiagonalen von 12“ bis 24“ zur Auswahl. Die Displays können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per kapazitiven Touch bedie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nt werd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en, wobei zusätzliche Bedienelemente in der Touch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-O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berfläche für Helligkeit, Lautstärke und Applikationsaufruf integriert sind.</w:t>
      </w:r>
    </w:p>
    <w:p w:rsidR="006C7A13" w:rsidRPr="006B77AF" w:rsidRDefault="006C7A13" w:rsidP="006C7A1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Anmelde- und Freigabeprozesse können einfach mit Hilfe des integrierten RFID/NFC-Reader realisier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en. Eine wasserdichte USB 2.0 Service-Buchse ist standardmäßig vorhanden. Weitere Schnittstellen, wie USB, COM, LAN und HDMI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kann man 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individuell durch spezielle IP65 Dichtungen heraus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führen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. Selbst Erweiterungen können mit je einen M.2 2230 E-Key (WLAN/BT) und M.2 3052 B-Key (SIM/5G) Steckplatz um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setz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n.</w:t>
      </w:r>
    </w:p>
    <w:p w:rsidR="006C7A13" w:rsidRPr="006B77AF" w:rsidRDefault="006C7A13" w:rsidP="006C7A1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Die Energieversorgung der Panel-PC-Modelle erfolgt standardmäßig über das integrierte 100 bis 240 VAC Netzteil. Die Betriebstemperatur liegt zwischen 0 und 45°C.</w:t>
      </w:r>
    </w:p>
    <w:p w:rsidR="006C7A13" w:rsidRDefault="006C7A13" w:rsidP="006C7A13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42BBCC2C" wp14:editId="39948608">
            <wp:simplePos x="0" y="0"/>
            <wp:positionH relativeFrom="column">
              <wp:posOffset>3265169</wp:posOffset>
            </wp:positionH>
            <wp:positionV relativeFrom="paragraph">
              <wp:posOffset>114300</wp:posOffset>
            </wp:positionV>
            <wp:extent cx="2771039" cy="23691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164" cy="237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13" w:rsidRPr="0079044F" w:rsidRDefault="006C7A13" w:rsidP="006C7A13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W</w:t>
      </w:r>
      <w:r w:rsidRPr="0079044F">
        <w:rPr>
          <w:rFonts w:ascii="Calibri Light" w:hAnsi="Calibri Light" w:cs="Calibri Light"/>
          <w:b/>
          <w:sz w:val="24"/>
          <w:szCs w:val="24"/>
        </w:rPr>
        <w:t>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231</w:t>
      </w:r>
    </w:p>
    <w:p w:rsidR="006C7A13" w:rsidRPr="0079044F" w:rsidRDefault="006C7A13" w:rsidP="006C7A13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1771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193F64" w:rsidRDefault="006C7A13" w:rsidP="006C7A13">
      <w:pPr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924C8C">
        <w:rPr>
          <w:rFonts w:ascii="Calibri Light" w:hAnsi="Calibri Light" w:cs="Calibri Light"/>
          <w:bCs/>
          <w:sz w:val="24"/>
          <w:szCs w:val="24"/>
        </w:rPr>
        <w:t>Spectra-Silent-wDL-Full-IP65-Panel-PC</w:t>
      </w:r>
      <w:r>
        <w:rPr>
          <w:rFonts w:ascii="Calibri Light" w:hAnsi="Calibri Light" w:cs="Calibri Light"/>
          <w:bCs/>
          <w:sz w:val="24"/>
          <w:szCs w:val="24"/>
        </w:rPr>
        <w:t>.jpg</w:t>
      </w:r>
    </w:p>
    <w:p w:rsidR="006C7A13" w:rsidRPr="0079044F" w:rsidRDefault="006C7A13" w:rsidP="006C7A13">
      <w:pPr>
        <w:rPr>
          <w:rFonts w:ascii="Calibri Light" w:hAnsi="Calibri Light" w:cs="Calibri Light"/>
          <w:bCs/>
          <w:sz w:val="24"/>
          <w:szCs w:val="24"/>
        </w:rPr>
      </w:pPr>
      <w:bookmarkStart w:id="4" w:name="_GoBack"/>
      <w:bookmarkEnd w:id="4"/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bookmarkEnd w:id="3"/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Roger Bärlocher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43 277 10 50</w:t>
      </w:r>
    </w:p>
    <w:p w:rsidR="00B3173F" w:rsidRPr="0049665C" w:rsidRDefault="00B3173F" w:rsidP="00B3173F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660444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info@spectra.ch</w:t>
        </w:r>
        <w:r w:rsidRPr="0066044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73F" w:rsidRPr="00CE0ABF" w:rsidRDefault="00B3173F" w:rsidP="00B3173F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Schweiz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 AG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Flugplatz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CH-84004 Winterthur</w:t>
                          </w:r>
                        </w:p>
                        <w:p w:rsidR="00B3173F" w:rsidRPr="00CE0ABF" w:rsidRDefault="00B3173F" w:rsidP="00B3173F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43 277 10 50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2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info@spectra.ch</w:t>
                            </w:r>
                          </w:hyperlink>
                          <w:r w:rsidRPr="005E6282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www.spectra.ch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B3173F" w:rsidRPr="00CE0ABF" w:rsidRDefault="00B3173F" w:rsidP="00B3173F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(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Schweiz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) AG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Flugplatz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5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CH-84004 Winterthur</w:t>
                    </w:r>
                  </w:p>
                  <w:p w:rsidR="00B3173F" w:rsidRPr="00CE0ABF" w:rsidRDefault="00B3173F" w:rsidP="00B3173F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43 277 10 50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4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info@spectra.ch</w:t>
                      </w:r>
                    </w:hyperlink>
                    <w:r w:rsidRPr="005E6282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www.spectra.ch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93F64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C7A13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1E6B6C7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ch" TargetMode="External"/><Relationship Id="rId2" Type="http://schemas.openxmlformats.org/officeDocument/2006/relationships/hyperlink" Target="mailto:info@spectra.ch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ch" TargetMode="External"/><Relationship Id="rId4" Type="http://schemas.openxmlformats.org/officeDocument/2006/relationships/hyperlink" Target="mailto:info@spect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1791</Characters>
  <Application>Microsoft Office Word</Application>
  <DocSecurity>0</DocSecurity>
  <Lines>45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2026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2022-10-11T12:01:00Z</cp:lastPrinted>
  <dcterms:created xsi:type="dcterms:W3CDTF">2023-09-19T09:44:00Z</dcterms:created>
  <dcterms:modified xsi:type="dcterms:W3CDTF">2023-09-19T09:44:00Z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