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bookmarkEnd w:id="0"/>
    <w:bookmarkEnd w:id="1"/>
    <w:bookmarkEnd w:id="2"/>
    <w:p w:rsidR="00ED0C48" w:rsidRPr="00143CCC" w:rsidRDefault="00ED0C48" w:rsidP="00ED0C48">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ED0C48" w:rsidRPr="00143CCC" w:rsidRDefault="00ED0C48" w:rsidP="00ED0C48">
      <w:pPr>
        <w:rPr>
          <w:rFonts w:ascii="Arial Black" w:hAnsi="Arial Black"/>
          <w:bCs/>
          <w:smallCaps/>
          <w:color w:val="808080"/>
          <w:sz w:val="32"/>
        </w:rPr>
      </w:pPr>
    </w:p>
    <w:p w:rsidR="00ED0C48" w:rsidRDefault="00ED0C48" w:rsidP="00ED0C48">
      <w:r>
        <w:t>TPM-36 Serie</w:t>
      </w:r>
      <w:r w:rsidRPr="00446A8E">
        <w:t>:</w:t>
      </w:r>
      <w:r>
        <w:t xml:space="preserve"> </w:t>
      </w:r>
      <w:r w:rsidRPr="00543D61">
        <w:t>Industriemonitore im IP66-Edelstahlgehäuse</w:t>
      </w:r>
    </w:p>
    <w:p w:rsidR="00ED0C48" w:rsidRPr="00446A8E" w:rsidRDefault="00ED0C48" w:rsidP="00ED0C48"/>
    <w:p w:rsidR="00ED0C48" w:rsidRDefault="00ED0C48" w:rsidP="00ED0C48">
      <w:pPr>
        <w:spacing w:line="270" w:lineRule="atLeast"/>
        <w:rPr>
          <w:b/>
          <w:color w:val="00509F"/>
          <w:sz w:val="24"/>
          <w:szCs w:val="24"/>
        </w:rPr>
      </w:pPr>
      <w:r>
        <w:rPr>
          <w:b/>
          <w:color w:val="00509F"/>
          <w:sz w:val="24"/>
          <w:szCs w:val="24"/>
        </w:rPr>
        <w:t>IDEAL FÜR D</w:t>
      </w:r>
      <w:r w:rsidRPr="00543D61">
        <w:rPr>
          <w:b/>
          <w:color w:val="00509F"/>
          <w:sz w:val="24"/>
          <w:szCs w:val="24"/>
        </w:rPr>
        <w:t>IE MEDIZIN-</w:t>
      </w:r>
      <w:r>
        <w:rPr>
          <w:b/>
          <w:color w:val="00509F"/>
          <w:sz w:val="24"/>
          <w:szCs w:val="24"/>
        </w:rPr>
        <w:t xml:space="preserve"> </w:t>
      </w:r>
      <w:r w:rsidRPr="00543D61">
        <w:rPr>
          <w:b/>
          <w:color w:val="00509F"/>
          <w:sz w:val="24"/>
          <w:szCs w:val="24"/>
        </w:rPr>
        <w:t>/</w:t>
      </w:r>
      <w:r>
        <w:rPr>
          <w:b/>
          <w:color w:val="00509F"/>
          <w:sz w:val="24"/>
          <w:szCs w:val="24"/>
        </w:rPr>
        <w:t xml:space="preserve"> </w:t>
      </w:r>
      <w:r w:rsidRPr="00543D61">
        <w:rPr>
          <w:b/>
          <w:color w:val="00509F"/>
          <w:sz w:val="24"/>
          <w:szCs w:val="24"/>
        </w:rPr>
        <w:t>PHARMA-</w:t>
      </w:r>
      <w:r>
        <w:rPr>
          <w:b/>
          <w:color w:val="00509F"/>
          <w:sz w:val="24"/>
          <w:szCs w:val="24"/>
        </w:rPr>
        <w:t xml:space="preserve"> </w:t>
      </w:r>
      <w:r w:rsidRPr="00543D61">
        <w:rPr>
          <w:b/>
          <w:color w:val="00509F"/>
          <w:sz w:val="24"/>
          <w:szCs w:val="24"/>
        </w:rPr>
        <w:t>/</w:t>
      </w:r>
      <w:r>
        <w:rPr>
          <w:b/>
          <w:color w:val="00509F"/>
          <w:sz w:val="24"/>
          <w:szCs w:val="24"/>
        </w:rPr>
        <w:t xml:space="preserve"> </w:t>
      </w:r>
      <w:r w:rsidRPr="00543D61">
        <w:rPr>
          <w:b/>
          <w:color w:val="00509F"/>
          <w:sz w:val="24"/>
          <w:szCs w:val="24"/>
        </w:rPr>
        <w:t>LEBENSMITTELINDUSTRIE</w:t>
      </w:r>
    </w:p>
    <w:p w:rsidR="00ED0C48" w:rsidRDefault="00ED0C48" w:rsidP="00ED0C48">
      <w:pPr>
        <w:spacing w:line="270" w:lineRule="atLeast"/>
        <w:rPr>
          <w:b/>
          <w:color w:val="00509F"/>
          <w:sz w:val="24"/>
          <w:szCs w:val="24"/>
        </w:rPr>
      </w:pPr>
    </w:p>
    <w:p w:rsidR="00ED0C48" w:rsidRPr="00543D61" w:rsidRDefault="00ED0C48" w:rsidP="00ED0C48">
      <w:pPr>
        <w:spacing w:line="276" w:lineRule="auto"/>
        <w:rPr>
          <w:rFonts w:cs="Arial"/>
          <w:color w:val="404040" w:themeColor="text1" w:themeTint="BF"/>
        </w:rPr>
      </w:pPr>
      <w:r w:rsidRPr="00543D61">
        <w:rPr>
          <w:rFonts w:cs="Arial"/>
          <w:color w:val="404040" w:themeColor="text1" w:themeTint="BF"/>
        </w:rPr>
        <w:t>In der Medizin-, Pharma- und Lebensmittelindustrie sind die Hygieneanforderungen ganz besonders hoch. Die Verbreitung von Partikeln, Keimen und anderen Verunreinigungen muss unbedingt verhindert werden. Deshalb werden im Produktionsprozess Werkstoffe eingesetzt, deren Kontaminationspotenzial so gering wie möglich ist.</w:t>
      </w:r>
    </w:p>
    <w:p w:rsidR="00ED0C48" w:rsidRPr="00543D61" w:rsidRDefault="00ED0C48" w:rsidP="00ED0C48">
      <w:pPr>
        <w:spacing w:line="276" w:lineRule="auto"/>
        <w:rPr>
          <w:rFonts w:cs="Arial"/>
          <w:color w:val="404040" w:themeColor="text1" w:themeTint="BF"/>
        </w:rPr>
      </w:pPr>
      <w:r w:rsidRPr="00543D61">
        <w:rPr>
          <w:rFonts w:cs="Arial"/>
          <w:color w:val="404040" w:themeColor="text1" w:themeTint="BF"/>
        </w:rPr>
        <w:t xml:space="preserve">Für den Einsatz im hygienekritischen Umfeld </w:t>
      </w:r>
      <w:r>
        <w:rPr>
          <w:rFonts w:cs="Arial"/>
          <w:color w:val="404040" w:themeColor="text1" w:themeTint="BF"/>
        </w:rPr>
        <w:t xml:space="preserve">hat </w:t>
      </w:r>
      <w:proofErr w:type="spellStart"/>
      <w:r>
        <w:rPr>
          <w:rFonts w:cs="Arial"/>
          <w:color w:val="404040" w:themeColor="text1" w:themeTint="BF"/>
        </w:rPr>
        <w:t>Spectra</w:t>
      </w:r>
      <w:proofErr w:type="spellEnd"/>
      <w:r w:rsidRPr="00543D61">
        <w:rPr>
          <w:rFonts w:cs="Arial"/>
          <w:color w:val="404040" w:themeColor="text1" w:themeTint="BF"/>
        </w:rPr>
        <w:t xml:space="preserve"> </w:t>
      </w:r>
      <w:r>
        <w:rPr>
          <w:rFonts w:cs="Arial"/>
          <w:color w:val="404040" w:themeColor="text1" w:themeTint="BF"/>
        </w:rPr>
        <w:t>das Portfolio um die Edelstahlmonitore der TPM-</w:t>
      </w:r>
      <w:r w:rsidRPr="00543D61">
        <w:rPr>
          <w:rFonts w:cs="Arial"/>
          <w:color w:val="404040" w:themeColor="text1" w:themeTint="BF"/>
        </w:rPr>
        <w:t>36 Serie</w:t>
      </w:r>
      <w:r>
        <w:rPr>
          <w:rFonts w:cs="Arial"/>
          <w:color w:val="404040" w:themeColor="text1" w:themeTint="BF"/>
        </w:rPr>
        <w:t xml:space="preserve"> erweitert</w:t>
      </w:r>
      <w:r w:rsidRPr="00543D61">
        <w:rPr>
          <w:rFonts w:cs="Arial"/>
          <w:color w:val="404040" w:themeColor="text1" w:themeTint="BF"/>
        </w:rPr>
        <w:t xml:space="preserve">. Die Verwendung von Edelstahl für das Gehäuse dieser Monitore garantiert </w:t>
      </w:r>
      <w:r>
        <w:rPr>
          <w:rFonts w:cs="Arial"/>
          <w:color w:val="404040" w:themeColor="text1" w:themeTint="BF"/>
        </w:rPr>
        <w:t xml:space="preserve">dem Anwender </w:t>
      </w:r>
      <w:r w:rsidRPr="00543D61">
        <w:rPr>
          <w:rFonts w:cs="Arial"/>
          <w:color w:val="404040" w:themeColor="text1" w:themeTint="BF"/>
        </w:rPr>
        <w:t>eine sehr hohe Oberflächenqualität, die stark korrosiven Umgebungen, hohen Drücken und Temperaturen dauerhaft Stand hält. Auch bei Dauerbeanspruchung bleiben die homogenen Oberflächen frei von Haarrissen oder Poren, so dass sich keine Verunreinigungen festsetzen können. Zusätzlich s</w:t>
      </w:r>
      <w:r>
        <w:rPr>
          <w:rFonts w:cs="Arial"/>
          <w:color w:val="404040" w:themeColor="text1" w:themeTint="BF"/>
        </w:rPr>
        <w:t>ind die Monitore rundum nach</w:t>
      </w:r>
      <w:r w:rsidRPr="00543D61">
        <w:rPr>
          <w:rFonts w:cs="Arial"/>
          <w:color w:val="404040" w:themeColor="text1" w:themeTint="BF"/>
        </w:rPr>
        <w:t xml:space="preserve"> IP66-Schutzart ausgeführt. Alle Monitoranschlüsse sind als M12-Konnektoren ausgeführt und </w:t>
      </w:r>
      <w:r>
        <w:rPr>
          <w:rFonts w:cs="Arial"/>
          <w:color w:val="404040" w:themeColor="text1" w:themeTint="BF"/>
        </w:rPr>
        <w:t>ermöglichen</w:t>
      </w:r>
      <w:r w:rsidRPr="00543D61">
        <w:rPr>
          <w:rFonts w:cs="Arial"/>
          <w:color w:val="404040" w:themeColor="text1" w:themeTint="BF"/>
        </w:rPr>
        <w:t xml:space="preserve"> eine einfache Reinigung und</w:t>
      </w:r>
      <w:r>
        <w:rPr>
          <w:rFonts w:cs="Arial"/>
          <w:color w:val="404040" w:themeColor="text1" w:themeTint="BF"/>
        </w:rPr>
        <w:t xml:space="preserve"> </w:t>
      </w:r>
      <w:r w:rsidRPr="00543D61">
        <w:rPr>
          <w:rFonts w:cs="Arial"/>
          <w:color w:val="404040" w:themeColor="text1" w:themeTint="BF"/>
        </w:rPr>
        <w:t>/</w:t>
      </w:r>
      <w:r>
        <w:rPr>
          <w:rFonts w:cs="Arial"/>
          <w:color w:val="404040" w:themeColor="text1" w:themeTint="BF"/>
        </w:rPr>
        <w:t xml:space="preserve"> </w:t>
      </w:r>
      <w:r w:rsidRPr="00543D61">
        <w:rPr>
          <w:rFonts w:cs="Arial"/>
          <w:color w:val="404040" w:themeColor="text1" w:themeTint="BF"/>
        </w:rPr>
        <w:t>oder Desinfektion ringsherum.</w:t>
      </w:r>
    </w:p>
    <w:p w:rsidR="00ED0C48" w:rsidRDefault="00ED0C48" w:rsidP="00ED0C48">
      <w:pPr>
        <w:spacing w:line="276" w:lineRule="auto"/>
        <w:rPr>
          <w:rFonts w:cs="Arial"/>
          <w:color w:val="404040" w:themeColor="text1" w:themeTint="BF"/>
        </w:rPr>
      </w:pPr>
      <w:r>
        <w:rPr>
          <w:rFonts w:cs="Arial"/>
          <w:color w:val="404040" w:themeColor="text1" w:themeTint="BF"/>
        </w:rPr>
        <w:t>Der Anwender kann</w:t>
      </w:r>
      <w:r w:rsidRPr="00543D61">
        <w:rPr>
          <w:rFonts w:cs="Arial"/>
          <w:color w:val="404040" w:themeColor="text1" w:themeTint="BF"/>
        </w:rPr>
        <w:t xml:space="preserve"> zwischen </w:t>
      </w:r>
      <w:proofErr w:type="spellStart"/>
      <w:r w:rsidRPr="00543D61">
        <w:rPr>
          <w:rFonts w:cs="Arial"/>
          <w:color w:val="404040" w:themeColor="text1" w:themeTint="BF"/>
        </w:rPr>
        <w:t>Displaygrö</w:t>
      </w:r>
      <w:r w:rsidR="00EB3611">
        <w:rPr>
          <w:rFonts w:cs="Arial"/>
          <w:color w:val="404040" w:themeColor="text1" w:themeTint="BF"/>
        </w:rPr>
        <w:t>ss</w:t>
      </w:r>
      <w:r w:rsidRPr="00543D61">
        <w:rPr>
          <w:rFonts w:cs="Arial"/>
          <w:color w:val="404040" w:themeColor="text1" w:themeTint="BF"/>
        </w:rPr>
        <w:t>en</w:t>
      </w:r>
      <w:proofErr w:type="spellEnd"/>
      <w:r w:rsidRPr="00543D61">
        <w:rPr>
          <w:rFonts w:cs="Arial"/>
          <w:color w:val="404040" w:themeColor="text1" w:themeTint="BF"/>
        </w:rPr>
        <w:t xml:space="preserve"> von 10“ bis 23</w:t>
      </w:r>
      <w:r>
        <w:rPr>
          <w:rFonts w:cs="Arial"/>
          <w:color w:val="404040" w:themeColor="text1" w:themeTint="BF"/>
        </w:rPr>
        <w:t>.</w:t>
      </w:r>
      <w:r w:rsidRPr="00543D61">
        <w:rPr>
          <w:rFonts w:cs="Arial"/>
          <w:color w:val="404040" w:themeColor="text1" w:themeTint="BF"/>
        </w:rPr>
        <w:t xml:space="preserve">8“ wählen. Je nach Modell sind die Displays mit einem </w:t>
      </w:r>
      <w:proofErr w:type="spellStart"/>
      <w:r w:rsidRPr="00543D61">
        <w:rPr>
          <w:rFonts w:cs="Arial"/>
          <w:color w:val="404040" w:themeColor="text1" w:themeTint="BF"/>
        </w:rPr>
        <w:t>resistiven</w:t>
      </w:r>
      <w:proofErr w:type="spellEnd"/>
      <w:r w:rsidRPr="00543D61">
        <w:rPr>
          <w:rFonts w:cs="Arial"/>
          <w:color w:val="404040" w:themeColor="text1" w:themeTint="BF"/>
        </w:rPr>
        <w:t xml:space="preserve"> oder kapazitiven Touchscreen ausgestattet. Für besonders brillante Bildwiedergabe stehen auch Modelle in </w:t>
      </w:r>
      <w:proofErr w:type="spellStart"/>
      <w:r w:rsidRPr="00543D61">
        <w:rPr>
          <w:rFonts w:cs="Arial"/>
          <w:color w:val="404040" w:themeColor="text1" w:themeTint="BF"/>
        </w:rPr>
        <w:t>Full</w:t>
      </w:r>
      <w:proofErr w:type="spellEnd"/>
      <w:r>
        <w:rPr>
          <w:rFonts w:cs="Arial"/>
          <w:color w:val="404040" w:themeColor="text1" w:themeTint="BF"/>
        </w:rPr>
        <w:t xml:space="preserve"> </w:t>
      </w:r>
      <w:r w:rsidRPr="00543D61">
        <w:rPr>
          <w:rFonts w:cs="Arial"/>
          <w:color w:val="404040" w:themeColor="text1" w:themeTint="BF"/>
        </w:rPr>
        <w:t>HD Auflösung zur Verfügung.</w:t>
      </w:r>
      <w:r>
        <w:rPr>
          <w:rFonts w:cs="Arial"/>
          <w:color w:val="404040" w:themeColor="text1" w:themeTint="BF"/>
        </w:rPr>
        <w:t xml:space="preserve"> </w:t>
      </w:r>
    </w:p>
    <w:p w:rsidR="00ED0C48" w:rsidRDefault="00ED0C48" w:rsidP="00ED0C48">
      <w:pPr>
        <w:spacing w:line="276" w:lineRule="auto"/>
        <w:rPr>
          <w:rFonts w:cs="Arial"/>
          <w:color w:val="404040" w:themeColor="text1" w:themeTint="BF"/>
        </w:rPr>
      </w:pPr>
    </w:p>
    <w:p w:rsidR="00ED0C48" w:rsidRPr="00446A8E" w:rsidRDefault="00ED0C48" w:rsidP="00ED0C48">
      <w:pPr>
        <w:spacing w:line="276" w:lineRule="auto"/>
        <w:rPr>
          <w:b/>
        </w:rPr>
      </w:pPr>
      <w:r w:rsidRPr="00446A8E">
        <w:rPr>
          <w:b/>
        </w:rPr>
        <w:t>Wörter:</w:t>
      </w:r>
      <w:r w:rsidRPr="00446A8E">
        <w:t xml:space="preserve">   </w:t>
      </w:r>
      <w:r>
        <w:t>173</w:t>
      </w:r>
    </w:p>
    <w:p w:rsidR="00ED0C48" w:rsidRPr="00446A8E" w:rsidRDefault="00ED0C48" w:rsidP="00ED0C48">
      <w:pPr>
        <w:spacing w:line="276" w:lineRule="auto"/>
      </w:pPr>
      <w:r w:rsidRPr="00446A8E">
        <w:rPr>
          <w:b/>
        </w:rPr>
        <w:t xml:space="preserve">Zeichen: </w:t>
      </w:r>
      <w:r w:rsidR="00EB3611">
        <w:t>1372</w:t>
      </w:r>
      <w:bookmarkStart w:id="4" w:name="_GoBack"/>
      <w:bookmarkEnd w:id="4"/>
      <w:r w:rsidRPr="00446A8E">
        <w:t xml:space="preserve"> (mit Leerzeichen)</w:t>
      </w:r>
    </w:p>
    <w:p w:rsidR="00ED0C48" w:rsidRPr="000F0D91" w:rsidRDefault="00ED0C48" w:rsidP="00ED0C48">
      <w:pPr>
        <w:spacing w:line="276" w:lineRule="auto"/>
        <w:rPr>
          <w:rFonts w:cs="Arial"/>
          <w:bCs/>
          <w:lang w:val="en-US"/>
        </w:rPr>
      </w:pPr>
      <w:proofErr w:type="spellStart"/>
      <w:r w:rsidRPr="000F0D91">
        <w:rPr>
          <w:rFonts w:cs="Arial"/>
          <w:b/>
          <w:bCs/>
          <w:lang w:val="en-US"/>
        </w:rPr>
        <w:t>Bild</w:t>
      </w:r>
      <w:proofErr w:type="spellEnd"/>
      <w:r w:rsidRPr="000F0D91">
        <w:rPr>
          <w:rFonts w:cs="Arial"/>
          <w:b/>
          <w:bCs/>
          <w:lang w:val="en-US"/>
        </w:rPr>
        <w:t xml:space="preserve">: </w:t>
      </w:r>
      <w:r>
        <w:rPr>
          <w:rFonts w:cs="Arial"/>
          <w:bCs/>
          <w:lang w:val="en-US"/>
        </w:rPr>
        <w:t>TPM</w:t>
      </w:r>
      <w:r w:rsidR="004E4416">
        <w:rPr>
          <w:rFonts w:cs="Arial"/>
          <w:bCs/>
          <w:lang w:val="en-US"/>
        </w:rPr>
        <w:t>-36-Serie-IP</w:t>
      </w:r>
      <w:r>
        <w:rPr>
          <w:rFonts w:cs="Arial"/>
          <w:bCs/>
          <w:lang w:val="en-US"/>
        </w:rPr>
        <w:t>66-Edelstahlmonitore</w:t>
      </w:r>
      <w:r w:rsidRPr="000F0D91">
        <w:rPr>
          <w:rFonts w:cs="Arial"/>
          <w:bCs/>
          <w:lang w:val="en-US"/>
        </w:rPr>
        <w:t>.jpg</w:t>
      </w:r>
    </w:p>
    <w:p w:rsidR="00257A54" w:rsidRPr="0046384A" w:rsidRDefault="00257A54" w:rsidP="00E65F6B">
      <w:pPr>
        <w:spacing w:line="276" w:lineRule="auto"/>
        <w:rPr>
          <w:b/>
        </w:rPr>
      </w:pPr>
    </w:p>
    <w:p w:rsidR="00257A54" w:rsidRPr="0046384A" w:rsidRDefault="00257A54" w:rsidP="00E65F6B">
      <w:pPr>
        <w:spacing w:line="276" w:lineRule="auto"/>
        <w:rPr>
          <w:b/>
        </w:rPr>
      </w:pPr>
    </w:p>
    <w:p w:rsidR="005568AB" w:rsidRPr="00E65F6B" w:rsidRDefault="00ED0C48" w:rsidP="005568AB">
      <w:pPr>
        <w:spacing w:line="276" w:lineRule="auto"/>
        <w:rPr>
          <w:b/>
        </w:rPr>
      </w:pPr>
      <w:r>
        <w:rPr>
          <w:b/>
          <w:noProof/>
        </w:rPr>
        <w:drawing>
          <wp:anchor distT="0" distB="0" distL="114300" distR="114300" simplePos="0" relativeHeight="251665408" behindDoc="1" locked="0" layoutInCell="1" allowOverlap="1" wp14:anchorId="60478DDF" wp14:editId="341A7C47">
            <wp:simplePos x="0" y="0"/>
            <wp:positionH relativeFrom="margin">
              <wp:posOffset>2581910</wp:posOffset>
            </wp:positionH>
            <wp:positionV relativeFrom="paragraph">
              <wp:posOffset>4445</wp:posOffset>
            </wp:positionV>
            <wp:extent cx="3585845" cy="21507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M36-Serie-IPP66-Monitore_Lebensmitt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5845" cy="2150745"/>
                    </a:xfrm>
                    <a:prstGeom prst="rect">
                      <a:avLst/>
                    </a:prstGeom>
                  </pic:spPr>
                </pic:pic>
              </a:graphicData>
            </a:graphic>
            <wp14:sizeRelH relativeFrom="page">
              <wp14:pctWidth>0</wp14:pctWidth>
            </wp14:sizeRelH>
            <wp14:sizeRelV relativeFrom="page">
              <wp14:pctHeight>0</wp14:pctHeight>
            </wp14:sizeRelV>
          </wp:anchor>
        </w:drawing>
      </w:r>
      <w:r w:rsidR="005568AB">
        <w:rPr>
          <w:b/>
        </w:rPr>
        <w:t>Ansprechpartner</w:t>
      </w:r>
      <w:r w:rsidR="005568AB" w:rsidRPr="00E65F6B">
        <w:rPr>
          <w:b/>
        </w:rPr>
        <w:t xml:space="preserve">: </w:t>
      </w:r>
    </w:p>
    <w:p w:rsidR="005568AB" w:rsidRPr="00E65F6B" w:rsidRDefault="005568AB" w:rsidP="005568AB">
      <w:pPr>
        <w:spacing w:line="276" w:lineRule="auto"/>
      </w:pPr>
      <w:r>
        <w:t>Roger Bärlocher</w:t>
      </w:r>
    </w:p>
    <w:p w:rsidR="005568AB" w:rsidRPr="00E65F6B" w:rsidRDefault="005568AB" w:rsidP="005568AB">
      <w:pPr>
        <w:spacing w:line="276" w:lineRule="auto"/>
      </w:pPr>
      <w:r w:rsidRPr="00E65F6B">
        <w:t>Tel.: +4</w:t>
      </w:r>
      <w:r>
        <w:t>1</w:t>
      </w:r>
      <w:r w:rsidRPr="00E65F6B">
        <w:t xml:space="preserve"> (0)</w:t>
      </w:r>
      <w:r>
        <w:t xml:space="preserve"> 43</w:t>
      </w:r>
      <w:r w:rsidRPr="00E65F6B">
        <w:t xml:space="preserve"> </w:t>
      </w:r>
      <w:r>
        <w:t>277 10 50</w:t>
      </w:r>
    </w:p>
    <w:p w:rsidR="005568AB" w:rsidRPr="00902FEB" w:rsidRDefault="005568AB" w:rsidP="005568AB">
      <w:pPr>
        <w:spacing w:line="276" w:lineRule="auto"/>
      </w:pPr>
      <w:r w:rsidRPr="00902FEB">
        <w:t>E-Mail:</w:t>
      </w:r>
      <w:hyperlink r:id="rId9" w:history="1">
        <w:r w:rsidRPr="002736B9">
          <w:rPr>
            <w:rStyle w:val="Hyperlink"/>
            <w:color w:val="auto"/>
            <w:u w:val="none"/>
          </w:rPr>
          <w:t xml:space="preserve"> info@spectra.ch</w:t>
        </w:r>
        <w:r w:rsidRPr="002736B9">
          <w:rPr>
            <w:rStyle w:val="Hyperlink"/>
            <w:color w:val="auto"/>
          </w:rPr>
          <w:t xml:space="preserve"> </w:t>
        </w:r>
      </w:hyperlink>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A677E2">
      <w:footerReference w:type="default" r:id="rId10"/>
      <w:pgSz w:w="11906" w:h="16838"/>
      <w:pgMar w:top="851" w:right="1558"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2210EC38" wp14:editId="7E42D8E9">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5F76FC"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6588682A" wp14:editId="3D110752">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1"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2"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88682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5568AB" w:rsidRPr="00446A8E" w:rsidRDefault="005568AB" w:rsidP="005568AB">
                    <w:pPr>
                      <w:pStyle w:val="berschrift3"/>
                      <w:spacing w:line="276" w:lineRule="auto"/>
                      <w:rPr>
                        <w:color w:val="FFFFFF" w:themeColor="background1"/>
                      </w:rPr>
                    </w:pPr>
                    <w:r w:rsidRPr="002736B9">
                      <w:rPr>
                        <w:color w:val="FFFFFF" w:themeColor="background1"/>
                      </w:rPr>
                      <w:t>Spectra (Schweiz) AG</w:t>
                    </w:r>
                    <w:r w:rsidRPr="006B22DF">
                      <w:rPr>
                        <w:color w:val="FFFFFF" w:themeColor="background1"/>
                      </w:rPr>
                      <w:t xml:space="preserve"> | </w:t>
                    </w:r>
                    <w:r>
                      <w:rPr>
                        <w:color w:val="FFFFFF" w:themeColor="background1"/>
                      </w:rPr>
                      <w:t>Flugplatzstr, 5 | CH-8404 Winterthur</w:t>
                    </w:r>
                  </w:p>
                  <w:p w:rsidR="005568AB" w:rsidRPr="00DA0626" w:rsidRDefault="005568AB" w:rsidP="005568AB">
                    <w:pPr>
                      <w:spacing w:line="276" w:lineRule="auto"/>
                      <w:rPr>
                        <w:color w:val="FFFFFF" w:themeColor="background1"/>
                      </w:rPr>
                    </w:pPr>
                    <w:r>
                      <w:rPr>
                        <w:color w:val="FFFFFF" w:themeColor="background1"/>
                      </w:rPr>
                      <w:t xml:space="preserve">Tel.: +41 (0) 43 277 10 50 | </w:t>
                    </w:r>
                    <w:hyperlink r:id="rId3" w:history="1">
                      <w:r>
                        <w:rPr>
                          <w:rStyle w:val="Hyperlink"/>
                          <w:color w:val="FFFFFF" w:themeColor="background1"/>
                          <w:u w:val="none"/>
                        </w:rPr>
                        <w:t>info@spectra.ch</w:t>
                      </w:r>
                    </w:hyperlink>
                    <w:r w:rsidRPr="006B22DF">
                      <w:rPr>
                        <w:rStyle w:val="Hyperlink"/>
                        <w:color w:val="FFFFFF" w:themeColor="background1"/>
                        <w:u w:val="none"/>
                      </w:rPr>
                      <w:t xml:space="preserve"> | </w:t>
                    </w:r>
                    <w:hyperlink r:id="rId4" w:history="1">
                      <w:r w:rsidRPr="002736B9">
                        <w:rPr>
                          <w:rStyle w:val="Hyperlink"/>
                          <w:b/>
                          <w:color w:val="FFFFFF" w:themeColor="background1"/>
                          <w:u w:val="none"/>
                        </w:rPr>
                        <w:t>www.spectra</w:t>
                      </w:r>
                    </w:hyperlink>
                    <w:r w:rsidRPr="002736B9">
                      <w:rPr>
                        <w:b/>
                        <w:color w:val="FFFFFF" w:themeColor="background1"/>
                      </w:rPr>
                      <w:t>.ch</w:t>
                    </w:r>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2AB"/>
    <w:rsid w:val="000915E8"/>
    <w:rsid w:val="00092C84"/>
    <w:rsid w:val="000A043D"/>
    <w:rsid w:val="000B0144"/>
    <w:rsid w:val="000D57B7"/>
    <w:rsid w:val="000F09E0"/>
    <w:rsid w:val="000F0D91"/>
    <w:rsid w:val="00143CCC"/>
    <w:rsid w:val="00167E32"/>
    <w:rsid w:val="001A2722"/>
    <w:rsid w:val="001D049B"/>
    <w:rsid w:val="00233036"/>
    <w:rsid w:val="00257A54"/>
    <w:rsid w:val="00264538"/>
    <w:rsid w:val="0028307F"/>
    <w:rsid w:val="00297011"/>
    <w:rsid w:val="002A60D6"/>
    <w:rsid w:val="002F2A23"/>
    <w:rsid w:val="002F49B8"/>
    <w:rsid w:val="00311118"/>
    <w:rsid w:val="00341B95"/>
    <w:rsid w:val="00342DC3"/>
    <w:rsid w:val="00353149"/>
    <w:rsid w:val="003559B8"/>
    <w:rsid w:val="003727D7"/>
    <w:rsid w:val="003C4F26"/>
    <w:rsid w:val="003D22DC"/>
    <w:rsid w:val="003E1362"/>
    <w:rsid w:val="00446A8E"/>
    <w:rsid w:val="0046384A"/>
    <w:rsid w:val="00470000"/>
    <w:rsid w:val="00487FA0"/>
    <w:rsid w:val="0049665C"/>
    <w:rsid w:val="004B790A"/>
    <w:rsid w:val="004D0EA5"/>
    <w:rsid w:val="004E4416"/>
    <w:rsid w:val="004E4532"/>
    <w:rsid w:val="005231DA"/>
    <w:rsid w:val="00544AF7"/>
    <w:rsid w:val="00545D67"/>
    <w:rsid w:val="005550D2"/>
    <w:rsid w:val="005568AB"/>
    <w:rsid w:val="005712CA"/>
    <w:rsid w:val="005B7B8E"/>
    <w:rsid w:val="005E1679"/>
    <w:rsid w:val="005E4E04"/>
    <w:rsid w:val="005F7CD2"/>
    <w:rsid w:val="005F7E3B"/>
    <w:rsid w:val="00631D72"/>
    <w:rsid w:val="00651987"/>
    <w:rsid w:val="00686EA8"/>
    <w:rsid w:val="00694001"/>
    <w:rsid w:val="006B0E0A"/>
    <w:rsid w:val="007005AD"/>
    <w:rsid w:val="00723896"/>
    <w:rsid w:val="0074665B"/>
    <w:rsid w:val="007B0D4A"/>
    <w:rsid w:val="007C096A"/>
    <w:rsid w:val="007D37AE"/>
    <w:rsid w:val="008001E2"/>
    <w:rsid w:val="00814E67"/>
    <w:rsid w:val="008867D2"/>
    <w:rsid w:val="008A4B7C"/>
    <w:rsid w:val="008D3934"/>
    <w:rsid w:val="008F6DF5"/>
    <w:rsid w:val="00905825"/>
    <w:rsid w:val="009136A6"/>
    <w:rsid w:val="009140CB"/>
    <w:rsid w:val="00926020"/>
    <w:rsid w:val="00932DEB"/>
    <w:rsid w:val="009710BF"/>
    <w:rsid w:val="009C2613"/>
    <w:rsid w:val="009C2CF6"/>
    <w:rsid w:val="009C5C9D"/>
    <w:rsid w:val="009F62AD"/>
    <w:rsid w:val="00A017C6"/>
    <w:rsid w:val="00A01BB5"/>
    <w:rsid w:val="00A21056"/>
    <w:rsid w:val="00A32A30"/>
    <w:rsid w:val="00A475FD"/>
    <w:rsid w:val="00A5084C"/>
    <w:rsid w:val="00A677E2"/>
    <w:rsid w:val="00AA20B2"/>
    <w:rsid w:val="00AE4FE0"/>
    <w:rsid w:val="00AF1ACC"/>
    <w:rsid w:val="00B26507"/>
    <w:rsid w:val="00B33053"/>
    <w:rsid w:val="00B33BFB"/>
    <w:rsid w:val="00BB7F42"/>
    <w:rsid w:val="00C47C54"/>
    <w:rsid w:val="00C74C9E"/>
    <w:rsid w:val="00CA05DE"/>
    <w:rsid w:val="00CB5BBD"/>
    <w:rsid w:val="00CC37D1"/>
    <w:rsid w:val="00CE1850"/>
    <w:rsid w:val="00D003CB"/>
    <w:rsid w:val="00D1025C"/>
    <w:rsid w:val="00D1358D"/>
    <w:rsid w:val="00D166B3"/>
    <w:rsid w:val="00D24E49"/>
    <w:rsid w:val="00D65C3E"/>
    <w:rsid w:val="00D7476E"/>
    <w:rsid w:val="00DA0626"/>
    <w:rsid w:val="00DB4A82"/>
    <w:rsid w:val="00DC4187"/>
    <w:rsid w:val="00DE256B"/>
    <w:rsid w:val="00DF2606"/>
    <w:rsid w:val="00DF62C7"/>
    <w:rsid w:val="00E02217"/>
    <w:rsid w:val="00E04191"/>
    <w:rsid w:val="00E17438"/>
    <w:rsid w:val="00E226C8"/>
    <w:rsid w:val="00E247CB"/>
    <w:rsid w:val="00E27DEB"/>
    <w:rsid w:val="00E65F6B"/>
    <w:rsid w:val="00EB3611"/>
    <w:rsid w:val="00EB39E3"/>
    <w:rsid w:val="00ED0C48"/>
    <w:rsid w:val="00F55020"/>
    <w:rsid w:val="00F64FBB"/>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6D4D4"/>
  <w15:docId w15:val="{5313EFAA-C637-4AF0-9004-B6CBBBCF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 TargetMode="External"/><Relationship Id="rId1" Type="http://schemas.openxmlformats.org/officeDocument/2006/relationships/hyperlink" Target="mailto:info@spectra-austria.at" TargetMode="External"/><Relationship Id="rId4" Type="http://schemas.openxmlformats.org/officeDocument/2006/relationships/hyperlink" Target="http://www.spect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1633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4</cp:revision>
  <cp:lastPrinted>2019-04-11T12:43:00Z</cp:lastPrinted>
  <dcterms:created xsi:type="dcterms:W3CDTF">2021-02-08T09:11:00Z</dcterms:created>
  <dcterms:modified xsi:type="dcterms:W3CDTF">2021-02-08T09:29:00Z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