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6F7D3E" w:rsidRDefault="006F7D3E" w:rsidP="006F7D3E">
      <w:pPr>
        <w:rPr>
          <w:rFonts w:ascii="Arial Black" w:hAnsi="Arial Black"/>
          <w:bCs/>
          <w:smallCaps/>
          <w:color w:val="808080"/>
          <w:sz w:val="32"/>
        </w:rPr>
      </w:pPr>
    </w:p>
    <w:p w:rsidR="006F7D3E" w:rsidRDefault="006F7D3E" w:rsidP="006F7D3E">
      <w:pPr>
        <w:rPr>
          <w:rFonts w:ascii="Arial Black" w:hAnsi="Arial Black"/>
          <w:bCs/>
          <w:smallCaps/>
          <w:color w:val="808080"/>
          <w:sz w:val="32"/>
        </w:rPr>
      </w:pPr>
    </w:p>
    <w:p w:rsidR="006F7D3E" w:rsidRPr="00143CCC" w:rsidRDefault="006F7D3E" w:rsidP="006F7D3E">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6F7D3E" w:rsidRPr="00143CCC" w:rsidRDefault="006F7D3E" w:rsidP="006F7D3E">
      <w:pPr>
        <w:rPr>
          <w:rFonts w:ascii="Arial Black" w:hAnsi="Arial Black"/>
          <w:bCs/>
          <w:smallCaps/>
          <w:color w:val="808080"/>
          <w:sz w:val="32"/>
        </w:rPr>
      </w:pPr>
    </w:p>
    <w:p w:rsidR="006F7D3E" w:rsidRPr="00A74D80" w:rsidRDefault="006F7D3E" w:rsidP="006F7D3E">
      <w:pPr>
        <w:rPr>
          <w:rFonts w:cs="Arial"/>
        </w:rPr>
      </w:pPr>
      <w:bookmarkStart w:id="4" w:name="_GoBack"/>
      <w:proofErr w:type="spellStart"/>
      <w:r w:rsidRPr="00A74D80">
        <w:rPr>
          <w:rFonts w:cs="Arial"/>
        </w:rPr>
        <w:t>Spectra</w:t>
      </w:r>
      <w:proofErr w:type="spellEnd"/>
      <w:r w:rsidRPr="00A74D80">
        <w:rPr>
          <w:rFonts w:cs="Arial"/>
        </w:rPr>
        <w:t xml:space="preserve"> </w:t>
      </w:r>
      <w:proofErr w:type="spellStart"/>
      <w:r w:rsidRPr="00A74D80">
        <w:rPr>
          <w:rFonts w:cs="Arial"/>
        </w:rPr>
        <w:t>PowerBox</w:t>
      </w:r>
      <w:proofErr w:type="spellEnd"/>
      <w:r w:rsidRPr="00A74D80">
        <w:rPr>
          <w:rFonts w:cs="Arial"/>
        </w:rPr>
        <w:t xml:space="preserve"> 500: </w:t>
      </w:r>
      <w:r w:rsidRPr="00A74D80">
        <w:rPr>
          <w:rFonts w:cs="Arial"/>
          <w:shd w:val="clear" w:color="auto" w:fill="FFFFFF"/>
        </w:rPr>
        <w:t>Edge KI-Server mit MXM-GPU-Modulen</w:t>
      </w:r>
    </w:p>
    <w:p w:rsidR="006F7D3E" w:rsidRPr="00446A8E" w:rsidRDefault="006F7D3E" w:rsidP="006F7D3E"/>
    <w:p w:rsidR="006F7D3E" w:rsidRDefault="006F7D3E" w:rsidP="006F7D3E">
      <w:pPr>
        <w:spacing w:line="270" w:lineRule="atLeast"/>
        <w:rPr>
          <w:b/>
          <w:color w:val="00509F"/>
          <w:sz w:val="24"/>
          <w:szCs w:val="24"/>
        </w:rPr>
      </w:pPr>
      <w:r>
        <w:rPr>
          <w:b/>
          <w:color w:val="00509F"/>
          <w:sz w:val="24"/>
          <w:szCs w:val="24"/>
        </w:rPr>
        <w:t xml:space="preserve">PASSGENAUE GPU POWER </w:t>
      </w:r>
    </w:p>
    <w:p w:rsidR="006F7D3E" w:rsidRPr="00A74D80" w:rsidRDefault="006F7D3E" w:rsidP="006F7D3E">
      <w:pPr>
        <w:shd w:val="clear" w:color="auto" w:fill="FFFFFF"/>
        <w:spacing w:before="150"/>
        <w:rPr>
          <w:rFonts w:cs="Arial"/>
        </w:rPr>
      </w:pPr>
      <w:r w:rsidRPr="00A74D80">
        <w:rPr>
          <w:rFonts w:cs="Arial"/>
        </w:rPr>
        <w:t>Die industrielle Bildverarbeitung reicht von einfachen Anwendungen in der Umgebungswahrnehmung wie die Positionierung, Messung, Identifizierung und Sortierung von Objekten bis hin zu komplexeren bildverarbeitungsgesteuerten Automatisierungsfunktionen. Bei dieser Bandbreite an Anwendungen hilft dem Systemintegrator ein flexibel konfigurierbares Embedded System, das sowohl die notwendige Leistung garantiert als auch unnötige Investitionen verhindert.</w:t>
      </w:r>
    </w:p>
    <w:p w:rsidR="006F7D3E" w:rsidRPr="00A74D80" w:rsidRDefault="006F7D3E" w:rsidP="006F7D3E">
      <w:pPr>
        <w:shd w:val="clear" w:color="auto" w:fill="FFFFFF"/>
        <w:spacing w:before="150"/>
        <w:rPr>
          <w:rFonts w:cs="Arial"/>
        </w:rPr>
      </w:pPr>
      <w:r w:rsidRPr="00A74D80">
        <w:rPr>
          <w:rFonts w:cs="Arial"/>
        </w:rPr>
        <w:t xml:space="preserve">Die leistungsstarken Edge KI-Server der </w:t>
      </w:r>
      <w:proofErr w:type="spellStart"/>
      <w:r w:rsidRPr="00A74D80">
        <w:rPr>
          <w:rFonts w:cs="Arial"/>
        </w:rPr>
        <w:t>Spectra</w:t>
      </w:r>
      <w:proofErr w:type="spellEnd"/>
      <w:r w:rsidRPr="00A74D80">
        <w:rPr>
          <w:rFonts w:cs="Arial"/>
        </w:rPr>
        <w:t xml:space="preserve"> </w:t>
      </w:r>
      <w:proofErr w:type="spellStart"/>
      <w:r w:rsidRPr="00A74D80">
        <w:rPr>
          <w:rFonts w:cs="Arial"/>
        </w:rPr>
        <w:t>PowerBox</w:t>
      </w:r>
      <w:proofErr w:type="spellEnd"/>
      <w:r w:rsidRPr="00A74D80">
        <w:rPr>
          <w:rFonts w:cs="Arial"/>
        </w:rPr>
        <w:t xml:space="preserve"> 500 Serie bieten diese Möglichkeit. Sie sind extrem skalierbar - </w:t>
      </w:r>
      <w:proofErr w:type="gramStart"/>
      <w:r w:rsidRPr="00A74D80">
        <w:rPr>
          <w:rFonts w:cs="Arial"/>
        </w:rPr>
        <w:t>der integrierte Intel</w:t>
      </w:r>
      <w:proofErr w:type="gramEnd"/>
      <w:r w:rsidRPr="00A74D80">
        <w:rPr>
          <w:rFonts w:cs="Arial"/>
          <w:vertAlign w:val="superscript"/>
        </w:rPr>
        <w:t>®</w:t>
      </w:r>
      <w:r w:rsidRPr="00A74D80">
        <w:rPr>
          <w:rFonts w:cs="Arial"/>
        </w:rPr>
        <w:t> C246 Chipsatz unterstützt mehr als 20 verschiedene Intel</w:t>
      </w:r>
      <w:r w:rsidRPr="00A74D80">
        <w:rPr>
          <w:rFonts w:cs="Arial"/>
          <w:vertAlign w:val="superscript"/>
        </w:rPr>
        <w:t>®</w:t>
      </w:r>
      <w:r w:rsidRPr="00A74D80">
        <w:rPr>
          <w:rFonts w:cs="Arial"/>
        </w:rPr>
        <w:t> Prozessoren der 8. und 9. Generation von Celeron</w:t>
      </w:r>
      <w:r w:rsidRPr="00A74D80">
        <w:rPr>
          <w:rFonts w:cs="Arial"/>
          <w:vertAlign w:val="superscript"/>
        </w:rPr>
        <w:t>®</w:t>
      </w:r>
      <w:r w:rsidRPr="00A74D80">
        <w:rPr>
          <w:rFonts w:cs="Arial"/>
        </w:rPr>
        <w:t> bis Xeon</w:t>
      </w:r>
      <w:r w:rsidRPr="00A74D80">
        <w:rPr>
          <w:rFonts w:cs="Arial"/>
          <w:vertAlign w:val="superscript"/>
        </w:rPr>
        <w:t>®</w:t>
      </w:r>
      <w:r w:rsidRPr="00A74D80">
        <w:rPr>
          <w:rFonts w:cs="Arial"/>
        </w:rPr>
        <w:t xml:space="preserve">. Die hervorragende Grafikperformance wird durch den auf dem Chip integrierten Grafikcontroller erreicht. Die benötigte Speicherkapazität wird durch zwei 2.5“ SATA-Laufwerke realisiert und ist mit Hilfe mehrerer </w:t>
      </w:r>
      <w:proofErr w:type="spellStart"/>
      <w:r w:rsidRPr="00A74D80">
        <w:rPr>
          <w:rFonts w:cs="Arial"/>
        </w:rPr>
        <w:t>mSATA</w:t>
      </w:r>
      <w:proofErr w:type="spellEnd"/>
      <w:r w:rsidRPr="00A74D80">
        <w:rPr>
          <w:rFonts w:cs="Arial"/>
        </w:rPr>
        <w:t>- und NVME-SSD-Steckplätze ausbaubar.</w:t>
      </w:r>
    </w:p>
    <w:p w:rsidR="006F7D3E" w:rsidRPr="00A74D80" w:rsidRDefault="006F7D3E" w:rsidP="006F7D3E">
      <w:pPr>
        <w:shd w:val="clear" w:color="auto" w:fill="FFFFFF"/>
        <w:spacing w:before="150"/>
        <w:rPr>
          <w:rFonts w:cs="Arial"/>
        </w:rPr>
      </w:pPr>
      <w:r>
        <w:rPr>
          <w:rFonts w:cs="Arial"/>
        </w:rPr>
        <w:t>D</w:t>
      </w:r>
      <w:r w:rsidRPr="00A74D80">
        <w:rPr>
          <w:rFonts w:cs="Arial"/>
        </w:rPr>
        <w:t>ie eigentliche Flexibilität bietet das integrierte MXM</w:t>
      </w:r>
      <w:r>
        <w:rPr>
          <w:rFonts w:cs="Arial"/>
        </w:rPr>
        <w:t>-</w:t>
      </w:r>
      <w:r w:rsidRPr="00A74D80">
        <w:rPr>
          <w:rFonts w:cs="Arial"/>
        </w:rPr>
        <w:t xml:space="preserve">Interface für eine zusätzliche GPU-Erweiterung. </w:t>
      </w:r>
      <w:r>
        <w:rPr>
          <w:rFonts w:cs="Arial"/>
        </w:rPr>
        <w:t>Es stehen</w:t>
      </w:r>
      <w:r w:rsidRPr="00A74D80">
        <w:rPr>
          <w:rFonts w:cs="Arial"/>
        </w:rPr>
        <w:t xml:space="preserve"> die neuen </w:t>
      </w:r>
      <w:proofErr w:type="spellStart"/>
      <w:r w:rsidRPr="00A74D80">
        <w:rPr>
          <w:rFonts w:cs="Arial"/>
        </w:rPr>
        <w:t>Quadro</w:t>
      </w:r>
      <w:proofErr w:type="spellEnd"/>
      <w:r w:rsidRPr="00A74D80">
        <w:rPr>
          <w:rFonts w:cs="Arial"/>
          <w:vertAlign w:val="superscript"/>
        </w:rPr>
        <w:t>®</w:t>
      </w:r>
      <w:r w:rsidRPr="00A74D80">
        <w:rPr>
          <w:rFonts w:cs="Arial"/>
        </w:rPr>
        <w:t xml:space="preserve"> MXM</w:t>
      </w:r>
      <w:r>
        <w:rPr>
          <w:rFonts w:cs="Arial"/>
        </w:rPr>
        <w:t>-</w:t>
      </w:r>
      <w:r w:rsidRPr="00A74D80">
        <w:rPr>
          <w:rFonts w:cs="Arial"/>
        </w:rPr>
        <w:t xml:space="preserve">GPU-Module MXM-RTX3000 und MXM-T1000 zur Verfügung. Sie nutzen die auf dem </w:t>
      </w:r>
      <w:r>
        <w:rPr>
          <w:rFonts w:cs="Arial"/>
        </w:rPr>
        <w:t xml:space="preserve">aktuellen 12-nm-Prozess basierende </w:t>
      </w:r>
      <w:r w:rsidRPr="00A74D80">
        <w:rPr>
          <w:rFonts w:cs="Arial"/>
        </w:rPr>
        <w:t>NVIDIA</w:t>
      </w:r>
      <w:r w:rsidRPr="00A74D80">
        <w:rPr>
          <w:rFonts w:cs="Arial"/>
          <w:vertAlign w:val="superscript"/>
        </w:rPr>
        <w:t>®</w:t>
      </w:r>
      <w:r w:rsidRPr="00A74D80">
        <w:rPr>
          <w:rFonts w:cs="Arial"/>
        </w:rPr>
        <w:t xml:space="preserve"> </w:t>
      </w:r>
      <w:proofErr w:type="spellStart"/>
      <w:r w:rsidRPr="00A74D80">
        <w:rPr>
          <w:rFonts w:cs="Arial"/>
        </w:rPr>
        <w:t>Quadro</w:t>
      </w:r>
      <w:proofErr w:type="spellEnd"/>
      <w:r w:rsidRPr="00A74D80">
        <w:rPr>
          <w:rFonts w:cs="Arial"/>
          <w:vertAlign w:val="superscript"/>
        </w:rPr>
        <w:t>®</w:t>
      </w:r>
      <w:r w:rsidRPr="00A74D80">
        <w:rPr>
          <w:rFonts w:cs="Arial"/>
        </w:rPr>
        <w:t xml:space="preserve"> Turing</w:t>
      </w:r>
      <w:r w:rsidRPr="00A74D80">
        <w:rPr>
          <w:rFonts w:cs="Arial"/>
          <w:vertAlign w:val="superscript"/>
        </w:rPr>
        <w:t>™</w:t>
      </w:r>
      <w:r>
        <w:rPr>
          <w:rFonts w:cs="Arial"/>
        </w:rPr>
        <w:t xml:space="preserve"> GPU-Architektur</w:t>
      </w:r>
      <w:r w:rsidRPr="00A74D80">
        <w:rPr>
          <w:rFonts w:cs="Arial"/>
        </w:rPr>
        <w:t>.</w:t>
      </w:r>
    </w:p>
    <w:p w:rsidR="006F7D3E" w:rsidRPr="00A74D80" w:rsidRDefault="006F7D3E" w:rsidP="006F7D3E">
      <w:pPr>
        <w:shd w:val="clear" w:color="auto" w:fill="FFFFFF"/>
        <w:spacing w:before="150"/>
        <w:rPr>
          <w:rFonts w:cs="Arial"/>
        </w:rPr>
      </w:pPr>
      <w:r w:rsidRPr="00A74D80">
        <w:rPr>
          <w:rFonts w:cs="Arial"/>
        </w:rPr>
        <w:t>In Bezug auf Rechenleistung und Performance muss man keine Kompromisse eingehen. D</w:t>
      </w:r>
      <w:r>
        <w:rPr>
          <w:rFonts w:cs="Arial"/>
        </w:rPr>
        <w:t>as</w:t>
      </w:r>
      <w:r w:rsidRPr="00A74D80">
        <w:rPr>
          <w:rFonts w:cs="Arial"/>
        </w:rPr>
        <w:t xml:space="preserve"> MXM-RTX3000 verfügt über 1920 CUDA Kerne, 5,3 TFLOPS Spitzen-FP32-High-End-Rechenleistung, parallele Integer-Ausführung, AI-Computing-Tensor-Kern und spezialisierten RT-Kern für Ray </w:t>
      </w:r>
      <w:proofErr w:type="spellStart"/>
      <w:r w:rsidRPr="00A74D80">
        <w:rPr>
          <w:rFonts w:cs="Arial"/>
        </w:rPr>
        <w:t>Tracing</w:t>
      </w:r>
      <w:proofErr w:type="spellEnd"/>
      <w:r w:rsidRPr="00A74D80">
        <w:rPr>
          <w:rFonts w:cs="Arial"/>
        </w:rPr>
        <w:t>. Zusammen bieten diese voll integrierten GPU-Funktionen alles, um komplexe visuelle Bildberechnungen zu bewältigen. D</w:t>
      </w:r>
      <w:r>
        <w:rPr>
          <w:rFonts w:cs="Arial"/>
        </w:rPr>
        <w:t>as</w:t>
      </w:r>
      <w:r w:rsidRPr="00A74D80">
        <w:rPr>
          <w:rFonts w:cs="Arial"/>
        </w:rPr>
        <w:t xml:space="preserve"> MXM-T1000 verfügt über 896 CUDA Kerne, 2,6 TFLOPS Spitzen-FP32-Rechenleistung und nur 50 W Stromverbrauch für besonders stromsparendes High-Speed-Computing.</w:t>
      </w:r>
    </w:p>
    <w:p w:rsidR="006F7D3E" w:rsidRPr="00A74D80" w:rsidRDefault="006F7D3E" w:rsidP="006F7D3E">
      <w:pPr>
        <w:shd w:val="clear" w:color="auto" w:fill="FFFFFF"/>
        <w:spacing w:before="150"/>
        <w:rPr>
          <w:rFonts w:cs="Arial"/>
        </w:rPr>
      </w:pPr>
      <w:r w:rsidRPr="00A74D80">
        <w:rPr>
          <w:rFonts w:cs="Arial"/>
        </w:rPr>
        <w:t>Beide Modelle unterstützen GDDR6-Speicher. D</w:t>
      </w:r>
      <w:r>
        <w:rPr>
          <w:rFonts w:cs="Arial"/>
        </w:rPr>
        <w:t>as</w:t>
      </w:r>
      <w:r w:rsidRPr="00A74D80">
        <w:rPr>
          <w:rFonts w:cs="Arial"/>
        </w:rPr>
        <w:t xml:space="preserve"> MXM-RTX3000 hat eine Einzelkartenkapazität von bis zu 6 GB und eine Speicherbandbreite von 336 GB/s. D</w:t>
      </w:r>
      <w:r>
        <w:rPr>
          <w:rFonts w:cs="Arial"/>
        </w:rPr>
        <w:t>as</w:t>
      </w:r>
      <w:r w:rsidRPr="00A74D80">
        <w:rPr>
          <w:rFonts w:cs="Arial"/>
        </w:rPr>
        <w:t xml:space="preserve"> MXM-T1000 hat eine Kapazität von 4 GB und eine Speicherbandbreite von 192 GB/s. Der schnelle Speicher glättet das Lesen von Daten und vervielfacht die Rechenleistung.</w:t>
      </w:r>
    </w:p>
    <w:p w:rsidR="006F7D3E" w:rsidRPr="00A74D80" w:rsidRDefault="006F7D3E" w:rsidP="006F7D3E">
      <w:pPr>
        <w:shd w:val="clear" w:color="auto" w:fill="FFFFFF"/>
        <w:spacing w:before="150"/>
        <w:rPr>
          <w:rFonts w:cs="Arial"/>
        </w:rPr>
      </w:pPr>
      <w:r w:rsidRPr="00A74D80">
        <w:rPr>
          <w:rFonts w:cs="Arial"/>
        </w:rPr>
        <w:t xml:space="preserve">Ein hocheffektives Kühlkonzept ermöglicht den </w:t>
      </w:r>
      <w:proofErr w:type="spellStart"/>
      <w:r w:rsidRPr="00A74D80">
        <w:rPr>
          <w:rFonts w:cs="Arial"/>
        </w:rPr>
        <w:t>lüfterlosen</w:t>
      </w:r>
      <w:proofErr w:type="spellEnd"/>
      <w:r w:rsidRPr="00A74D80">
        <w:rPr>
          <w:rFonts w:cs="Arial"/>
        </w:rPr>
        <w:t xml:space="preserve"> Betrieb. Dies wird durch die thermische Trennung von CPU und GPU und durch zusätzliche Kupfer-</w:t>
      </w:r>
      <w:proofErr w:type="spellStart"/>
      <w:r w:rsidRPr="00A74D80">
        <w:rPr>
          <w:rFonts w:cs="Arial"/>
        </w:rPr>
        <w:t>Heatpipes</w:t>
      </w:r>
      <w:proofErr w:type="spellEnd"/>
      <w:r w:rsidRPr="00A74D80">
        <w:rPr>
          <w:rFonts w:cs="Arial"/>
        </w:rPr>
        <w:t xml:space="preserve"> im Aluminiumgehäuse, die für eine noch bessere Wärmeableitung sorgen, realisiert. </w:t>
      </w:r>
      <w:r>
        <w:rPr>
          <w:rFonts w:cs="Arial"/>
        </w:rPr>
        <w:t>Bei</w:t>
      </w:r>
      <w:r w:rsidRPr="00A74D80">
        <w:rPr>
          <w:rFonts w:cs="Arial"/>
        </w:rPr>
        <w:t xml:space="preserve"> einer maximalen Ausbaustufe von eingesetztem Prozessor und GPU-Modul kann man sehr einfach ein externes Kühlsystem zuschalten.</w:t>
      </w:r>
    </w:p>
    <w:bookmarkEnd w:id="4"/>
    <w:p w:rsidR="006F7D3E" w:rsidRPr="00A74D80" w:rsidRDefault="006F7D3E" w:rsidP="006F7D3E">
      <w:pPr>
        <w:shd w:val="clear" w:color="auto" w:fill="FFFFFF"/>
        <w:spacing w:before="150"/>
        <w:rPr>
          <w:rFonts w:cs="Arial"/>
        </w:rPr>
      </w:pPr>
      <w:r w:rsidRPr="00402E1F">
        <w:rPr>
          <w:rFonts w:cs="Arial"/>
        </w:rPr>
        <w:drawing>
          <wp:anchor distT="0" distB="0" distL="114300" distR="114300" simplePos="0" relativeHeight="251658240" behindDoc="1" locked="0" layoutInCell="1" allowOverlap="1" wp14:anchorId="799CB420" wp14:editId="0BB7359A">
            <wp:simplePos x="0" y="0"/>
            <wp:positionH relativeFrom="margin">
              <wp:align>right</wp:align>
            </wp:positionH>
            <wp:positionV relativeFrom="paragraph">
              <wp:posOffset>194480</wp:posOffset>
            </wp:positionV>
            <wp:extent cx="2640841" cy="1895424"/>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841" cy="1895424"/>
                    </a:xfrm>
                    <a:prstGeom prst="rect">
                      <a:avLst/>
                    </a:prstGeom>
                  </pic:spPr>
                </pic:pic>
              </a:graphicData>
            </a:graphic>
            <wp14:sizeRelH relativeFrom="page">
              <wp14:pctWidth>0</wp14:pctWidth>
            </wp14:sizeRelH>
            <wp14:sizeRelV relativeFrom="page">
              <wp14:pctHeight>0</wp14:pctHeight>
            </wp14:sizeRelV>
          </wp:anchor>
        </w:drawing>
      </w:r>
    </w:p>
    <w:p w:rsidR="006F7D3E" w:rsidRPr="00A74D80" w:rsidRDefault="006F7D3E" w:rsidP="006F7D3E">
      <w:pPr>
        <w:spacing w:line="276" w:lineRule="auto"/>
        <w:rPr>
          <w:rFonts w:cs="Arial"/>
          <w:b/>
        </w:rPr>
      </w:pPr>
      <w:r w:rsidRPr="00A74D80">
        <w:rPr>
          <w:rFonts w:cs="Arial"/>
          <w:b/>
        </w:rPr>
        <w:t>Wörter:</w:t>
      </w:r>
      <w:r w:rsidRPr="00A74D80">
        <w:rPr>
          <w:rFonts w:cs="Arial"/>
        </w:rPr>
        <w:t xml:space="preserve">   3</w:t>
      </w:r>
      <w:r>
        <w:rPr>
          <w:rFonts w:cs="Arial"/>
        </w:rPr>
        <w:t>17</w:t>
      </w:r>
    </w:p>
    <w:p w:rsidR="006F7D3E" w:rsidRPr="00A74D80" w:rsidRDefault="006F7D3E" w:rsidP="006F7D3E">
      <w:pPr>
        <w:spacing w:line="276" w:lineRule="auto"/>
        <w:rPr>
          <w:rFonts w:cs="Arial"/>
        </w:rPr>
      </w:pPr>
      <w:r w:rsidRPr="00A74D80">
        <w:rPr>
          <w:rFonts w:cs="Arial"/>
          <w:b/>
        </w:rPr>
        <w:t xml:space="preserve">Zeichen: </w:t>
      </w:r>
      <w:r w:rsidRPr="00A74D80">
        <w:rPr>
          <w:rFonts w:cs="Arial"/>
        </w:rPr>
        <w:t>2</w:t>
      </w:r>
      <w:r>
        <w:rPr>
          <w:rFonts w:cs="Arial"/>
        </w:rPr>
        <w:t>574</w:t>
      </w:r>
      <w:r w:rsidRPr="00A74D80">
        <w:rPr>
          <w:rFonts w:cs="Arial"/>
        </w:rPr>
        <w:t xml:space="preserve"> (mit Leerzeichen)</w:t>
      </w:r>
    </w:p>
    <w:p w:rsidR="006F7D3E" w:rsidRPr="00A74D80" w:rsidRDefault="006F7D3E" w:rsidP="006F7D3E">
      <w:pPr>
        <w:spacing w:line="276" w:lineRule="auto"/>
        <w:rPr>
          <w:rFonts w:cs="Arial"/>
          <w:bCs/>
          <w:lang w:val="en-US"/>
        </w:rPr>
      </w:pPr>
      <w:proofErr w:type="spellStart"/>
      <w:r w:rsidRPr="00A74D80">
        <w:rPr>
          <w:rFonts w:cs="Arial"/>
          <w:b/>
          <w:bCs/>
          <w:lang w:val="en-US"/>
        </w:rPr>
        <w:t>Bild</w:t>
      </w:r>
      <w:proofErr w:type="spellEnd"/>
      <w:r w:rsidRPr="00A74D80">
        <w:rPr>
          <w:rFonts w:cs="Arial"/>
          <w:b/>
          <w:bCs/>
          <w:lang w:val="en-US"/>
        </w:rPr>
        <w:t xml:space="preserve">: </w:t>
      </w:r>
      <w:r w:rsidRPr="00A74D80">
        <w:rPr>
          <w:rFonts w:cs="Arial"/>
        </w:rPr>
        <w:t>Spectra_PowerBox500-</w:t>
      </w:r>
      <w:r w:rsidRPr="00A74D80">
        <w:rPr>
          <w:rFonts w:cs="Arial"/>
          <w:shd w:val="clear" w:color="auto" w:fill="FFFFFF"/>
        </w:rPr>
        <w:t>Edge_KI-Server</w:t>
      </w:r>
      <w:r w:rsidRPr="00A74D80">
        <w:rPr>
          <w:rFonts w:cs="Arial"/>
          <w:bCs/>
          <w:lang w:val="en-US"/>
        </w:rPr>
        <w:t>.jpg</w:t>
      </w:r>
    </w:p>
    <w:p w:rsidR="00711606" w:rsidRDefault="00711606" w:rsidP="00711606">
      <w:pPr>
        <w:spacing w:line="276" w:lineRule="auto"/>
        <w:rPr>
          <w:b/>
        </w:rPr>
      </w:pPr>
    </w:p>
    <w:p w:rsidR="00631D66" w:rsidRPr="00E13285" w:rsidRDefault="00631D66" w:rsidP="00631D66">
      <w:pPr>
        <w:spacing w:line="276" w:lineRule="auto"/>
        <w:rPr>
          <w:rFonts w:cs="Arial"/>
          <w:bCs/>
        </w:rPr>
      </w:pPr>
    </w:p>
    <w:p w:rsidR="009A4ADB" w:rsidRDefault="009A4ADB" w:rsidP="005568A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5375D1">
      <w:footerReference w:type="default" r:id="rId10"/>
      <w:pgSz w:w="11906" w:h="16838"/>
      <w:pgMar w:top="851" w:right="1416"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155EB354" wp14:editId="6D124E9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F1B34"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25DF615" wp14:editId="19B66DCE">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DF615"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52327"/>
    <w:rsid w:val="000640EF"/>
    <w:rsid w:val="00066422"/>
    <w:rsid w:val="000746F0"/>
    <w:rsid w:val="000772AB"/>
    <w:rsid w:val="000915E8"/>
    <w:rsid w:val="00092C84"/>
    <w:rsid w:val="000A043D"/>
    <w:rsid w:val="000B0144"/>
    <w:rsid w:val="000C6B8C"/>
    <w:rsid w:val="000D57B7"/>
    <w:rsid w:val="000F09E0"/>
    <w:rsid w:val="000F0D91"/>
    <w:rsid w:val="00143CCC"/>
    <w:rsid w:val="00167E32"/>
    <w:rsid w:val="001A2722"/>
    <w:rsid w:val="001D049B"/>
    <w:rsid w:val="00233036"/>
    <w:rsid w:val="00257A54"/>
    <w:rsid w:val="00264538"/>
    <w:rsid w:val="0028307F"/>
    <w:rsid w:val="00297011"/>
    <w:rsid w:val="002A60D6"/>
    <w:rsid w:val="002B7DCF"/>
    <w:rsid w:val="002F2A23"/>
    <w:rsid w:val="002F49B8"/>
    <w:rsid w:val="00311118"/>
    <w:rsid w:val="003119B3"/>
    <w:rsid w:val="00341B95"/>
    <w:rsid w:val="00342DC3"/>
    <w:rsid w:val="00353149"/>
    <w:rsid w:val="003559B8"/>
    <w:rsid w:val="00370F22"/>
    <w:rsid w:val="003727D7"/>
    <w:rsid w:val="003C4F26"/>
    <w:rsid w:val="003D22DC"/>
    <w:rsid w:val="003E1362"/>
    <w:rsid w:val="00446A8E"/>
    <w:rsid w:val="0046384A"/>
    <w:rsid w:val="00470000"/>
    <w:rsid w:val="00487FA0"/>
    <w:rsid w:val="0049665C"/>
    <w:rsid w:val="004B790A"/>
    <w:rsid w:val="004D0EA5"/>
    <w:rsid w:val="004E4532"/>
    <w:rsid w:val="005231DA"/>
    <w:rsid w:val="00531D96"/>
    <w:rsid w:val="005375D1"/>
    <w:rsid w:val="00544AF7"/>
    <w:rsid w:val="00545D67"/>
    <w:rsid w:val="005550D2"/>
    <w:rsid w:val="005568AB"/>
    <w:rsid w:val="005712CA"/>
    <w:rsid w:val="00590BB3"/>
    <w:rsid w:val="005B7B8E"/>
    <w:rsid w:val="005D226B"/>
    <w:rsid w:val="005E1679"/>
    <w:rsid w:val="005E4E04"/>
    <w:rsid w:val="005F7CD2"/>
    <w:rsid w:val="005F7E3B"/>
    <w:rsid w:val="00631D66"/>
    <w:rsid w:val="00631D72"/>
    <w:rsid w:val="00651987"/>
    <w:rsid w:val="00686EA8"/>
    <w:rsid w:val="00694001"/>
    <w:rsid w:val="006B0E0A"/>
    <w:rsid w:val="006F7D3E"/>
    <w:rsid w:val="00700586"/>
    <w:rsid w:val="007005AD"/>
    <w:rsid w:val="00711606"/>
    <w:rsid w:val="00723896"/>
    <w:rsid w:val="0074665B"/>
    <w:rsid w:val="007B0D4A"/>
    <w:rsid w:val="007C096A"/>
    <w:rsid w:val="007C0C12"/>
    <w:rsid w:val="007D37AE"/>
    <w:rsid w:val="008001E2"/>
    <w:rsid w:val="00814E67"/>
    <w:rsid w:val="008867D2"/>
    <w:rsid w:val="008A4B7C"/>
    <w:rsid w:val="008D3934"/>
    <w:rsid w:val="008F6DF5"/>
    <w:rsid w:val="00905825"/>
    <w:rsid w:val="009140CB"/>
    <w:rsid w:val="00926020"/>
    <w:rsid w:val="00932DEB"/>
    <w:rsid w:val="009710BF"/>
    <w:rsid w:val="009766A5"/>
    <w:rsid w:val="0097686C"/>
    <w:rsid w:val="00983913"/>
    <w:rsid w:val="009A4ADB"/>
    <w:rsid w:val="009C2613"/>
    <w:rsid w:val="009C2CF6"/>
    <w:rsid w:val="009C5C9D"/>
    <w:rsid w:val="009F62AD"/>
    <w:rsid w:val="00A017C6"/>
    <w:rsid w:val="00A01BB5"/>
    <w:rsid w:val="00A06B65"/>
    <w:rsid w:val="00A10E3A"/>
    <w:rsid w:val="00A21056"/>
    <w:rsid w:val="00A32A30"/>
    <w:rsid w:val="00A4706C"/>
    <w:rsid w:val="00A475FD"/>
    <w:rsid w:val="00A5084C"/>
    <w:rsid w:val="00A677E2"/>
    <w:rsid w:val="00AA20B2"/>
    <w:rsid w:val="00AE4FE0"/>
    <w:rsid w:val="00AF1ACC"/>
    <w:rsid w:val="00B26507"/>
    <w:rsid w:val="00B27579"/>
    <w:rsid w:val="00B33053"/>
    <w:rsid w:val="00B33BFB"/>
    <w:rsid w:val="00BB7F42"/>
    <w:rsid w:val="00C47C54"/>
    <w:rsid w:val="00C74C9E"/>
    <w:rsid w:val="00C91450"/>
    <w:rsid w:val="00CA05DE"/>
    <w:rsid w:val="00CB5BBD"/>
    <w:rsid w:val="00CC37D1"/>
    <w:rsid w:val="00CE1850"/>
    <w:rsid w:val="00D003CB"/>
    <w:rsid w:val="00D1025C"/>
    <w:rsid w:val="00D1358D"/>
    <w:rsid w:val="00D166B3"/>
    <w:rsid w:val="00D24E49"/>
    <w:rsid w:val="00D65C3E"/>
    <w:rsid w:val="00D7476E"/>
    <w:rsid w:val="00D77CDF"/>
    <w:rsid w:val="00D81CE9"/>
    <w:rsid w:val="00DA0626"/>
    <w:rsid w:val="00DB4A82"/>
    <w:rsid w:val="00DC4187"/>
    <w:rsid w:val="00DE0226"/>
    <w:rsid w:val="00DE256B"/>
    <w:rsid w:val="00DF2606"/>
    <w:rsid w:val="00DF59E2"/>
    <w:rsid w:val="00DF62C7"/>
    <w:rsid w:val="00E02217"/>
    <w:rsid w:val="00E04191"/>
    <w:rsid w:val="00E17438"/>
    <w:rsid w:val="00E226C8"/>
    <w:rsid w:val="00E247CB"/>
    <w:rsid w:val="00E27DEB"/>
    <w:rsid w:val="00E41118"/>
    <w:rsid w:val="00E65F6B"/>
    <w:rsid w:val="00EB39E3"/>
    <w:rsid w:val="00F35ED1"/>
    <w:rsid w:val="00F36354"/>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1EFAC"/>
  <w15:docId w15:val="{F28544EC-BC3B-4F23-9944-A897453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2835</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2020-07-31T09:10:00Z</cp:lastPrinted>
  <dcterms:created xsi:type="dcterms:W3CDTF">2021-03-01T10:23:00Z</dcterms:created>
  <dcterms:modified xsi:type="dcterms:W3CDTF">2021-03-01T10:23:00Z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