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6F7D3E" w:rsidRDefault="006F7D3E" w:rsidP="006F7D3E">
      <w:pPr>
        <w:rPr>
          <w:rFonts w:ascii="Arial Black" w:hAnsi="Arial Black"/>
          <w:bCs/>
          <w:smallCaps/>
          <w:color w:val="808080"/>
          <w:sz w:val="32"/>
        </w:rPr>
      </w:pPr>
    </w:p>
    <w:p w:rsidR="006F7D3E" w:rsidRDefault="006F7D3E" w:rsidP="006F7D3E">
      <w:pPr>
        <w:rPr>
          <w:rFonts w:ascii="Arial Black" w:hAnsi="Arial Black"/>
          <w:bCs/>
          <w:smallCaps/>
          <w:color w:val="808080"/>
          <w:sz w:val="32"/>
        </w:rPr>
      </w:pPr>
    </w:p>
    <w:p w:rsidR="006F7D3E" w:rsidRPr="00143CCC" w:rsidRDefault="006F7D3E" w:rsidP="006F7D3E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6F7D3E" w:rsidRPr="00143CCC" w:rsidRDefault="006F7D3E" w:rsidP="006F7D3E">
      <w:pPr>
        <w:rPr>
          <w:rFonts w:ascii="Arial Black" w:hAnsi="Arial Black"/>
          <w:bCs/>
          <w:smallCaps/>
          <w:color w:val="808080"/>
          <w:sz w:val="32"/>
        </w:rPr>
      </w:pPr>
    </w:p>
    <w:p w:rsidR="00CC5758" w:rsidRPr="00B903E0" w:rsidRDefault="00CC5758" w:rsidP="00CC5758">
      <w:pPr>
        <w:rPr>
          <w:rFonts w:cs="Arial"/>
        </w:rPr>
      </w:pPr>
      <w:r w:rsidRPr="00B903E0">
        <w:rPr>
          <w:rFonts w:cs="Arial"/>
        </w:rPr>
        <w:t>LP-1797:</w:t>
      </w:r>
      <w:r>
        <w:rPr>
          <w:rFonts w:cs="Arial"/>
        </w:rPr>
        <w:t xml:space="preserve"> </w:t>
      </w:r>
      <w:proofErr w:type="spellStart"/>
      <w:r w:rsidRPr="00B903E0">
        <w:rPr>
          <w:rFonts w:cs="Arial"/>
        </w:rPr>
        <w:t>Pico</w:t>
      </w:r>
      <w:proofErr w:type="spellEnd"/>
      <w:r w:rsidRPr="00B903E0">
        <w:rPr>
          <w:rFonts w:cs="Arial"/>
        </w:rPr>
        <w:t>-ITX Board mit Tiger Lake Prozessor</w:t>
      </w:r>
    </w:p>
    <w:p w:rsidR="00CC5758" w:rsidRPr="00B903E0" w:rsidRDefault="00CC5758" w:rsidP="00CC5758">
      <w:pPr>
        <w:rPr>
          <w:rFonts w:cs="Arial"/>
        </w:rPr>
      </w:pPr>
    </w:p>
    <w:p w:rsidR="00CC5758" w:rsidRPr="00B903E0" w:rsidRDefault="00CC5758" w:rsidP="00CC5758">
      <w:pPr>
        <w:spacing w:line="270" w:lineRule="atLeast"/>
        <w:rPr>
          <w:rFonts w:cs="Arial"/>
          <w:b/>
          <w:color w:val="00509F"/>
          <w:sz w:val="24"/>
          <w:szCs w:val="24"/>
        </w:rPr>
      </w:pPr>
      <w:r w:rsidRPr="00B903E0">
        <w:rPr>
          <w:rFonts w:cs="Arial"/>
          <w:b/>
          <w:color w:val="00509F"/>
          <w:sz w:val="24"/>
          <w:szCs w:val="24"/>
        </w:rPr>
        <w:t xml:space="preserve">KLEINES BOARD – GANZ GROSS </w:t>
      </w:r>
    </w:p>
    <w:p w:rsidR="00CC5758" w:rsidRPr="00B903E0" w:rsidRDefault="00CC5758" w:rsidP="00CC5758">
      <w:pPr>
        <w:spacing w:line="270" w:lineRule="atLeast"/>
        <w:rPr>
          <w:rFonts w:cs="Arial"/>
          <w:b/>
          <w:color w:val="00509F"/>
          <w:sz w:val="24"/>
          <w:szCs w:val="24"/>
        </w:rPr>
      </w:pPr>
    </w:p>
    <w:p w:rsidR="00CC5758" w:rsidRPr="00B903E0" w:rsidRDefault="00CC5758" w:rsidP="00CC5758">
      <w:pPr>
        <w:shd w:val="clear" w:color="auto" w:fill="FFFFFF"/>
        <w:spacing w:before="150"/>
        <w:rPr>
          <w:rFonts w:cs="Arial"/>
        </w:rPr>
      </w:pPr>
      <w:r w:rsidRPr="00B903E0">
        <w:rPr>
          <w:rFonts w:cs="Arial"/>
        </w:rPr>
        <w:t>Als Entwickler kennt man diese Herausforderung: Ein Embedded System für den Einbau z.B. in intelligente Kameras, Automaten, Messsysteme oder mobile Roboter muss nicht nur besonders kompakt, sondern auch leistungsstark sein. </w:t>
      </w:r>
      <w:r w:rsidRPr="00B903E0">
        <w:rPr>
          <w:rFonts w:cs="Arial"/>
        </w:rPr>
        <w:br/>
      </w:r>
      <w:r w:rsidRPr="00B903E0">
        <w:rPr>
          <w:rFonts w:cs="Arial"/>
        </w:rPr>
        <w:br/>
      </w:r>
      <w:r>
        <w:rPr>
          <w:rFonts w:cs="Arial"/>
        </w:rPr>
        <w:t>Für diese Fälle</w:t>
      </w:r>
      <w:r w:rsidRPr="00B903E0">
        <w:rPr>
          <w:rFonts w:cs="Arial"/>
        </w:rPr>
        <w:t xml:space="preserve"> bietet das industrielle </w:t>
      </w:r>
      <w:proofErr w:type="spellStart"/>
      <w:r w:rsidRPr="00B903E0">
        <w:rPr>
          <w:rFonts w:cs="Arial"/>
        </w:rPr>
        <w:t>Pico</w:t>
      </w:r>
      <w:proofErr w:type="spellEnd"/>
      <w:r w:rsidRPr="00B903E0">
        <w:rPr>
          <w:rFonts w:cs="Arial"/>
        </w:rPr>
        <w:t>-ITX Bo</w:t>
      </w:r>
      <w:r>
        <w:rPr>
          <w:rFonts w:cs="Arial"/>
        </w:rPr>
        <w:t>a</w:t>
      </w:r>
      <w:r w:rsidRPr="00B903E0">
        <w:rPr>
          <w:rFonts w:cs="Arial"/>
        </w:rPr>
        <w:t xml:space="preserve">rd LP-1797 von </w:t>
      </w:r>
      <w:proofErr w:type="spellStart"/>
      <w:r w:rsidRPr="00B903E0">
        <w:rPr>
          <w:rFonts w:cs="Arial"/>
        </w:rPr>
        <w:t>Spectra</w:t>
      </w:r>
      <w:proofErr w:type="spellEnd"/>
      <w:r>
        <w:rPr>
          <w:rFonts w:cs="Arial"/>
        </w:rPr>
        <w:t>,</w:t>
      </w:r>
      <w:r w:rsidRPr="00B903E0">
        <w:rPr>
          <w:rFonts w:cs="Arial"/>
        </w:rPr>
        <w:t xml:space="preserve"> mit den kompakten Ab</w:t>
      </w:r>
      <w:r>
        <w:rPr>
          <w:rFonts w:cs="Arial"/>
        </w:rPr>
        <w:t>messungen</w:t>
      </w:r>
      <w:r w:rsidRPr="00B903E0">
        <w:rPr>
          <w:rFonts w:cs="Arial"/>
        </w:rPr>
        <w:t xml:space="preserve"> von nur 100 x 72 mm</w:t>
      </w:r>
      <w:r>
        <w:rPr>
          <w:rFonts w:cs="Arial"/>
        </w:rPr>
        <w:t>,</w:t>
      </w:r>
      <w:r w:rsidRPr="00B903E0">
        <w:rPr>
          <w:rFonts w:cs="Arial"/>
        </w:rPr>
        <w:t xml:space="preserve"> eine perfekte Grundlage. Es basiert auf </w:t>
      </w:r>
      <w:r>
        <w:rPr>
          <w:rFonts w:cs="Arial"/>
        </w:rPr>
        <w:t>dem</w:t>
      </w:r>
      <w:r w:rsidRPr="00B903E0">
        <w:rPr>
          <w:rFonts w:cs="Arial"/>
        </w:rPr>
        <w:t xml:space="preserve"> Intel</w:t>
      </w:r>
      <w:r w:rsidRPr="00105FF6">
        <w:rPr>
          <w:rFonts w:cs="Arial"/>
          <w:vertAlign w:val="superscript"/>
        </w:rPr>
        <w:t>®</w:t>
      </w:r>
      <w:r w:rsidRPr="00B903E0">
        <w:rPr>
          <w:rFonts w:cs="Arial"/>
        </w:rPr>
        <w:t xml:space="preserve"> Core i7-1185G7E Prozessor mit vier Kernen und einer Taktfrequenz von 1,8 bis 4,4 GHz bei einer TDP von lediglich 15 Watt. D</w:t>
      </w:r>
      <w:r>
        <w:rPr>
          <w:rFonts w:cs="Arial"/>
        </w:rPr>
        <w:t>er</w:t>
      </w:r>
      <w:r w:rsidRPr="00B903E0">
        <w:rPr>
          <w:rFonts w:cs="Arial"/>
        </w:rPr>
        <w:t xml:space="preserve"> Arbeitsspeicher </w:t>
      </w:r>
      <w:r>
        <w:rPr>
          <w:rFonts w:cs="Arial"/>
        </w:rPr>
        <w:t>ist</w:t>
      </w:r>
      <w:r w:rsidRPr="00B903E0">
        <w:rPr>
          <w:rFonts w:cs="Arial"/>
        </w:rPr>
        <w:t> über einen SO-DIMM-Steckplatz vom Typ DDR4-3200 bis auf 32 GB ausbau</w:t>
      </w:r>
      <w:r>
        <w:rPr>
          <w:rFonts w:cs="Arial"/>
        </w:rPr>
        <w:t>bar</w:t>
      </w:r>
      <w:r w:rsidRPr="00B903E0">
        <w:rPr>
          <w:rFonts w:cs="Arial"/>
        </w:rPr>
        <w:t xml:space="preserve">. Damit man sich um die Wärmeableitung keine Sorgen machen muss, wurde die CPU auf der Rückseite der Platine verbaut. Von dort aus kann sie direkt über einen Kühlkörper oder </w:t>
      </w:r>
      <w:r>
        <w:rPr>
          <w:rFonts w:cs="Arial"/>
        </w:rPr>
        <w:t xml:space="preserve">über </w:t>
      </w:r>
      <w:r w:rsidRPr="00B903E0">
        <w:rPr>
          <w:rFonts w:cs="Arial"/>
        </w:rPr>
        <w:t>das Gehäuse gekühlt werden.</w:t>
      </w:r>
    </w:p>
    <w:p w:rsidR="00CC5758" w:rsidRPr="00B903E0" w:rsidRDefault="00CC5758" w:rsidP="00CC5758">
      <w:pPr>
        <w:shd w:val="clear" w:color="auto" w:fill="FFFFFF"/>
        <w:spacing w:before="150"/>
        <w:rPr>
          <w:rFonts w:cs="Arial"/>
        </w:rPr>
      </w:pPr>
      <w:r>
        <w:rPr>
          <w:rFonts w:cs="Arial"/>
        </w:rPr>
        <w:t>Eine Bildausgabe in 4K Qualität wird von einer mit</w:t>
      </w:r>
      <w:r w:rsidRPr="00B903E0">
        <w:rPr>
          <w:rFonts w:cs="Arial"/>
        </w:rPr>
        <w:t xml:space="preserve"> insgesamt 96 Recheneinheiten bestückte</w:t>
      </w:r>
      <w:r>
        <w:rPr>
          <w:rFonts w:cs="Arial"/>
        </w:rPr>
        <w:t>n</w:t>
      </w:r>
      <w:r w:rsidRPr="00B903E0">
        <w:rPr>
          <w:rFonts w:cs="Arial"/>
        </w:rPr>
        <w:t xml:space="preserve"> GPU vom Typ Intel</w:t>
      </w:r>
      <w:r w:rsidRPr="00105FF6">
        <w:rPr>
          <w:rFonts w:cs="Arial"/>
          <w:vertAlign w:val="superscript"/>
        </w:rPr>
        <w:t>®</w:t>
      </w:r>
      <w:r w:rsidRPr="00B903E0">
        <w:rPr>
          <w:rFonts w:cs="Arial"/>
        </w:rPr>
        <w:t xml:space="preserve"> </w:t>
      </w:r>
      <w:proofErr w:type="spellStart"/>
      <w:r w:rsidRPr="00B903E0">
        <w:rPr>
          <w:rFonts w:cs="Arial"/>
        </w:rPr>
        <w:t>Xe</w:t>
      </w:r>
      <w:proofErr w:type="spellEnd"/>
      <w:r>
        <w:rPr>
          <w:rFonts w:cs="Arial"/>
        </w:rPr>
        <w:t xml:space="preserve"> gewährleistet</w:t>
      </w:r>
      <w:r w:rsidRPr="00B903E0">
        <w:rPr>
          <w:rFonts w:cs="Arial"/>
        </w:rPr>
        <w:t xml:space="preserve">. Für den Anschluss von Displays ist je ein HDMI- und </w:t>
      </w:r>
      <w:proofErr w:type="spellStart"/>
      <w:r w:rsidRPr="00B903E0">
        <w:rPr>
          <w:rFonts w:cs="Arial"/>
        </w:rPr>
        <w:t>DisplayPort</w:t>
      </w:r>
      <w:proofErr w:type="spellEnd"/>
      <w:r w:rsidRPr="00B903E0">
        <w:rPr>
          <w:rFonts w:cs="Arial"/>
        </w:rPr>
        <w:t xml:space="preserve"> integriert. </w:t>
      </w:r>
      <w:r>
        <w:rPr>
          <w:rFonts w:cs="Arial"/>
        </w:rPr>
        <w:t>Ein VGA-Port wird ü</w:t>
      </w:r>
      <w:r w:rsidRPr="00B903E0">
        <w:rPr>
          <w:rFonts w:cs="Arial"/>
        </w:rPr>
        <w:t>ber einen internen Pin-Header realisiert.</w:t>
      </w:r>
    </w:p>
    <w:p w:rsidR="00CC5758" w:rsidRPr="00B903E0" w:rsidRDefault="00CC5758" w:rsidP="00CC5758">
      <w:pPr>
        <w:shd w:val="clear" w:color="auto" w:fill="FFFFFF"/>
        <w:spacing w:before="150"/>
        <w:rPr>
          <w:rFonts w:cs="Arial"/>
        </w:rPr>
      </w:pPr>
      <w:r w:rsidRPr="00B903E0">
        <w:rPr>
          <w:rFonts w:cs="Arial"/>
        </w:rPr>
        <w:t>Für Konnektivität im Netzwerk sorgen ein Intel</w:t>
      </w:r>
      <w:r w:rsidRPr="00105FF6">
        <w:rPr>
          <w:rFonts w:cs="Arial"/>
          <w:vertAlign w:val="superscript"/>
        </w:rPr>
        <w:t>®</w:t>
      </w:r>
      <w:r w:rsidRPr="00B903E0">
        <w:rPr>
          <w:rFonts w:cs="Arial"/>
        </w:rPr>
        <w:t xml:space="preserve"> I219-LM mit 1 </w:t>
      </w:r>
      <w:proofErr w:type="spellStart"/>
      <w:r w:rsidRPr="00B903E0">
        <w:rPr>
          <w:rFonts w:cs="Arial"/>
        </w:rPr>
        <w:t>Gbit</w:t>
      </w:r>
      <w:proofErr w:type="spellEnd"/>
      <w:r w:rsidRPr="00B903E0">
        <w:rPr>
          <w:rFonts w:cs="Arial"/>
        </w:rPr>
        <w:t>/s und ein Intel</w:t>
      </w:r>
      <w:r w:rsidRPr="00105FF6">
        <w:rPr>
          <w:rFonts w:cs="Arial"/>
          <w:vertAlign w:val="superscript"/>
        </w:rPr>
        <w:t>®</w:t>
      </w:r>
      <w:r w:rsidRPr="00B903E0">
        <w:rPr>
          <w:rFonts w:cs="Arial"/>
        </w:rPr>
        <w:t xml:space="preserve"> I225-LM mit 2,5 </w:t>
      </w:r>
      <w:proofErr w:type="spellStart"/>
      <w:r w:rsidRPr="00B903E0">
        <w:rPr>
          <w:rFonts w:cs="Arial"/>
        </w:rPr>
        <w:t>Gbit</w:t>
      </w:r>
      <w:proofErr w:type="spellEnd"/>
      <w:r w:rsidRPr="00B903E0">
        <w:rPr>
          <w:rFonts w:cs="Arial"/>
        </w:rPr>
        <w:t>/s. Erweiterungen werden mit Hilfe eines M.2 2280 Steckplat</w:t>
      </w:r>
      <w:r>
        <w:rPr>
          <w:rFonts w:cs="Arial"/>
        </w:rPr>
        <w:t xml:space="preserve">zes für </w:t>
      </w:r>
      <w:proofErr w:type="spellStart"/>
      <w:r>
        <w:rPr>
          <w:rFonts w:cs="Arial"/>
        </w:rPr>
        <w:t>NVMe</w:t>
      </w:r>
      <w:proofErr w:type="spellEnd"/>
      <w:r>
        <w:rPr>
          <w:rFonts w:cs="Arial"/>
        </w:rPr>
        <w:t xml:space="preserve">-SSDs mit </w:t>
      </w:r>
      <w:proofErr w:type="spellStart"/>
      <w:r>
        <w:rPr>
          <w:rFonts w:cs="Arial"/>
        </w:rPr>
        <w:t>PCIe</w:t>
      </w:r>
      <w:proofErr w:type="spellEnd"/>
      <w:r>
        <w:rPr>
          <w:rFonts w:cs="Arial"/>
        </w:rPr>
        <w:t xml:space="preserve"> 4.0 </w:t>
      </w:r>
      <w:r w:rsidRPr="00B903E0">
        <w:rPr>
          <w:rFonts w:cs="Arial"/>
        </w:rPr>
        <w:t xml:space="preserve">und eines M.2 2230 Steckplatzes für Wi-Fi- oder Bluetooth-Module umgesetzt. </w:t>
      </w:r>
      <w:proofErr w:type="spellStart"/>
      <w:r w:rsidRPr="00B903E0">
        <w:rPr>
          <w:rFonts w:cs="Arial"/>
        </w:rPr>
        <w:t>Au</w:t>
      </w:r>
      <w:r>
        <w:rPr>
          <w:rFonts w:cs="Arial"/>
        </w:rPr>
        <w:t>ss</w:t>
      </w:r>
      <w:r w:rsidRPr="00B903E0">
        <w:rPr>
          <w:rFonts w:cs="Arial"/>
        </w:rPr>
        <w:t>erdem</w:t>
      </w:r>
      <w:proofErr w:type="spellEnd"/>
      <w:r w:rsidRPr="00B903E0">
        <w:rPr>
          <w:rFonts w:cs="Arial"/>
        </w:rPr>
        <w:t> stehen zwei USB 3.2, zwei USB 2.0 und ein SATA3 sowie zwei RS</w:t>
      </w:r>
      <w:r>
        <w:rPr>
          <w:rFonts w:cs="Arial"/>
        </w:rPr>
        <w:t>-</w:t>
      </w:r>
      <w:r w:rsidRPr="00B903E0">
        <w:rPr>
          <w:rFonts w:cs="Arial"/>
        </w:rPr>
        <w:t>232</w:t>
      </w:r>
      <w:r>
        <w:rPr>
          <w:rFonts w:cs="Arial"/>
        </w:rPr>
        <w:t xml:space="preserve"> </w:t>
      </w:r>
      <w:r w:rsidRPr="00B903E0">
        <w:rPr>
          <w:rFonts w:cs="Arial"/>
        </w:rPr>
        <w:t>Schnittstellen zur Verfügung.</w:t>
      </w:r>
    </w:p>
    <w:p w:rsidR="00CC5758" w:rsidRPr="00446A8E" w:rsidRDefault="00CC5758" w:rsidP="00CC5758">
      <w:pPr>
        <w:spacing w:line="276" w:lineRule="auto"/>
        <w:rPr>
          <w:b/>
        </w:rPr>
      </w:pPr>
    </w:p>
    <w:p w:rsidR="00CC5758" w:rsidRPr="00B903E0" w:rsidRDefault="00CC5758" w:rsidP="00CC5758">
      <w:pPr>
        <w:spacing w:line="276" w:lineRule="auto"/>
        <w:rPr>
          <w:rFonts w:cs="Arial"/>
          <w:b/>
        </w:rPr>
      </w:pPr>
      <w:r w:rsidRPr="00B903E0">
        <w:rPr>
          <w:rFonts w:cs="Arial"/>
          <w:b/>
        </w:rPr>
        <w:t>Wörter:</w:t>
      </w:r>
      <w:r w:rsidRPr="00B903E0">
        <w:rPr>
          <w:rFonts w:cs="Arial"/>
        </w:rPr>
        <w:t xml:space="preserve">   236</w:t>
      </w:r>
    </w:p>
    <w:p w:rsidR="00CC5758" w:rsidRPr="00B903E0" w:rsidRDefault="00CC5758" w:rsidP="00CC5758">
      <w:pPr>
        <w:spacing w:line="276" w:lineRule="auto"/>
        <w:rPr>
          <w:rFonts w:cs="Arial"/>
        </w:rPr>
      </w:pPr>
      <w:r w:rsidRPr="00B903E0">
        <w:rPr>
          <w:rFonts w:cs="Arial"/>
          <w:b/>
        </w:rPr>
        <w:t xml:space="preserve">Zeichen: </w:t>
      </w:r>
      <w:r w:rsidRPr="00B903E0">
        <w:rPr>
          <w:rFonts w:cs="Arial"/>
        </w:rPr>
        <w:t>15</w:t>
      </w:r>
      <w:r>
        <w:rPr>
          <w:rFonts w:cs="Arial"/>
        </w:rPr>
        <w:t>4</w:t>
      </w:r>
      <w:r>
        <w:rPr>
          <w:rFonts w:cs="Arial"/>
        </w:rPr>
        <w:t>1</w:t>
      </w:r>
      <w:r w:rsidRPr="00B903E0">
        <w:rPr>
          <w:rFonts w:cs="Arial"/>
        </w:rPr>
        <w:t xml:space="preserve"> (mit Leerzeichen)</w:t>
      </w:r>
    </w:p>
    <w:p w:rsidR="00CC5758" w:rsidRPr="00B903E0" w:rsidRDefault="00CC5758" w:rsidP="00CC5758">
      <w:pPr>
        <w:spacing w:line="276" w:lineRule="auto"/>
        <w:rPr>
          <w:rFonts w:cs="Arial"/>
          <w:bCs/>
          <w:lang w:val="en-US"/>
        </w:rPr>
      </w:pPr>
      <w:r w:rsidRPr="00105FF6">
        <w:rPr>
          <w:rFonts w:cs="Arial"/>
        </w:rPr>
        <w:drawing>
          <wp:anchor distT="0" distB="0" distL="114300" distR="114300" simplePos="0" relativeHeight="251665408" behindDoc="1" locked="0" layoutInCell="1" allowOverlap="1" wp14:anchorId="7E18F4A0" wp14:editId="1E6D8980">
            <wp:simplePos x="0" y="0"/>
            <wp:positionH relativeFrom="column">
              <wp:posOffset>3538950</wp:posOffset>
            </wp:positionH>
            <wp:positionV relativeFrom="paragraph">
              <wp:posOffset>7345</wp:posOffset>
            </wp:positionV>
            <wp:extent cx="2594289" cy="2374710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289" cy="237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903E0">
        <w:rPr>
          <w:rFonts w:cs="Arial"/>
          <w:b/>
          <w:bCs/>
          <w:lang w:val="en-US"/>
        </w:rPr>
        <w:t>Bild</w:t>
      </w:r>
      <w:proofErr w:type="spellEnd"/>
      <w:r w:rsidRPr="00B903E0">
        <w:rPr>
          <w:rFonts w:cs="Arial"/>
          <w:b/>
          <w:bCs/>
          <w:lang w:val="en-US"/>
        </w:rPr>
        <w:t xml:space="preserve">: </w:t>
      </w:r>
      <w:r w:rsidRPr="00105FF6">
        <w:rPr>
          <w:rFonts w:cs="Arial"/>
          <w:bCs/>
          <w:lang w:val="en-US"/>
        </w:rPr>
        <w:t>Spectra_</w:t>
      </w:r>
      <w:r w:rsidRPr="00B903E0">
        <w:rPr>
          <w:rFonts w:cs="Arial"/>
        </w:rPr>
        <w:t>LP</w:t>
      </w:r>
      <w:r>
        <w:rPr>
          <w:rFonts w:cs="Arial"/>
        </w:rPr>
        <w:t>-</w:t>
      </w:r>
      <w:r w:rsidRPr="00B903E0">
        <w:rPr>
          <w:rFonts w:cs="Arial"/>
        </w:rPr>
        <w:t>1797-</w:t>
      </w:r>
      <w:r w:rsidRPr="00B903E0">
        <w:rPr>
          <w:rFonts w:cs="Arial"/>
          <w:color w:val="172B4D"/>
          <w:shd w:val="clear" w:color="auto" w:fill="FFFFFF"/>
        </w:rPr>
        <w:t>Pico-ITX_Tiger_Lake</w:t>
      </w:r>
      <w:r w:rsidRPr="00B903E0">
        <w:rPr>
          <w:rFonts w:cs="Arial"/>
          <w:bCs/>
          <w:lang w:val="en-US"/>
        </w:rPr>
        <w:t>.jpg</w:t>
      </w:r>
    </w:p>
    <w:p w:rsidR="00711606" w:rsidRDefault="00711606" w:rsidP="00711606">
      <w:pPr>
        <w:spacing w:line="276" w:lineRule="auto"/>
        <w:rPr>
          <w:b/>
        </w:rPr>
      </w:pP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  <w:bookmarkStart w:id="4" w:name="_GoBack"/>
      <w:bookmarkEnd w:id="4"/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9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0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DF1B34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5DF61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C6B8C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B7DCF"/>
    <w:rsid w:val="002F2A23"/>
    <w:rsid w:val="002F49B8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1D96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6F7D3E"/>
    <w:rsid w:val="00700586"/>
    <w:rsid w:val="007005AD"/>
    <w:rsid w:val="00711606"/>
    <w:rsid w:val="00723896"/>
    <w:rsid w:val="0074665B"/>
    <w:rsid w:val="007B0D4A"/>
    <w:rsid w:val="007C096A"/>
    <w:rsid w:val="007C0C12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91450"/>
    <w:rsid w:val="00CA05DE"/>
    <w:rsid w:val="00CB5BBD"/>
    <w:rsid w:val="00CC37D1"/>
    <w:rsid w:val="00CC5758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59E2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36354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77F0A"/>
  <w15:docId w15:val="{F28544EC-BC3B-4F23-9944-A8974537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1803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2020-07-31T09:10:00Z</cp:lastPrinted>
  <dcterms:created xsi:type="dcterms:W3CDTF">2021-03-09T12:17:00Z</dcterms:created>
  <dcterms:modified xsi:type="dcterms:W3CDTF">2021-03-09T12:17:00Z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