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7C0C12" w:rsidRPr="00143CCC" w:rsidRDefault="007C0C12" w:rsidP="007C0C1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7C0C12" w:rsidRPr="00143CCC" w:rsidRDefault="007C0C12" w:rsidP="007C0C12">
      <w:pPr>
        <w:rPr>
          <w:rFonts w:ascii="Arial Black" w:hAnsi="Arial Black"/>
          <w:bCs/>
          <w:smallCaps/>
          <w:color w:val="808080"/>
          <w:sz w:val="32"/>
        </w:rPr>
      </w:pPr>
    </w:p>
    <w:p w:rsidR="007C0C12" w:rsidRDefault="007C0C12" w:rsidP="007C0C12">
      <w:r>
        <w:t>IGS-20040MT</w:t>
      </w:r>
      <w:r w:rsidRPr="00446A8E">
        <w:t>:</w:t>
      </w:r>
      <w:r>
        <w:t xml:space="preserve"> 20-Port Ethernet Switch für den Schaltschrank</w:t>
      </w:r>
    </w:p>
    <w:p w:rsidR="007C0C12" w:rsidRPr="00446A8E" w:rsidRDefault="007C0C12" w:rsidP="007C0C12"/>
    <w:p w:rsidR="007C0C12" w:rsidRPr="00FD36E7" w:rsidRDefault="007C0C12" w:rsidP="007C0C12">
      <w:pPr>
        <w:spacing w:line="270" w:lineRule="atLeast"/>
        <w:rPr>
          <w:b/>
          <w:color w:val="00509F"/>
          <w:sz w:val="24"/>
          <w:szCs w:val="24"/>
        </w:rPr>
      </w:pPr>
      <w:r w:rsidRPr="00FD36E7">
        <w:rPr>
          <w:b/>
          <w:color w:val="00509F"/>
          <w:sz w:val="24"/>
          <w:szCs w:val="24"/>
        </w:rPr>
        <w:t xml:space="preserve">LEISTUNGSSTARKER DATENVERTEILER </w:t>
      </w:r>
    </w:p>
    <w:p w:rsidR="007C0C12" w:rsidRPr="00FD36E7" w:rsidRDefault="007C0C12" w:rsidP="007C0C12">
      <w:pPr>
        <w:spacing w:line="270" w:lineRule="atLeast"/>
        <w:rPr>
          <w:b/>
          <w:color w:val="00509F"/>
          <w:sz w:val="24"/>
          <w:szCs w:val="24"/>
        </w:rPr>
      </w:pPr>
    </w:p>
    <w:p w:rsidR="007C0C12" w:rsidRPr="00FD36E7" w:rsidRDefault="007C0C12" w:rsidP="007C0C12">
      <w:pPr>
        <w:spacing w:line="276" w:lineRule="auto"/>
        <w:rPr>
          <w:rFonts w:cs="Arial"/>
          <w:color w:val="404040" w:themeColor="text1" w:themeTint="BF"/>
        </w:rPr>
      </w:pPr>
      <w:r w:rsidRPr="00FD36E7">
        <w:rPr>
          <w:rFonts w:cs="Arial"/>
          <w:color w:val="404040" w:themeColor="text1" w:themeTint="BF"/>
        </w:rPr>
        <w:t xml:space="preserve">Die Zahl industrieller Geräte mit Ethernet-Schnittstelle nimmt ständig zu. Nicht nur Computer oder </w:t>
      </w:r>
      <w:proofErr w:type="spellStart"/>
      <w:r w:rsidRPr="00FD36E7">
        <w:rPr>
          <w:rFonts w:cs="Arial"/>
          <w:color w:val="404040" w:themeColor="text1" w:themeTint="BF"/>
        </w:rPr>
        <w:t>SPSen</w:t>
      </w:r>
      <w:proofErr w:type="spellEnd"/>
      <w:r w:rsidRPr="00FD36E7">
        <w:rPr>
          <w:rFonts w:cs="Arial"/>
          <w:color w:val="404040" w:themeColor="text1" w:themeTint="BF"/>
        </w:rPr>
        <w:t xml:space="preserve"> sind heute mit einem oder gleich mehreren LAN-Ports ausgestattet, sondern auch Antriebe, Frequenzu</w:t>
      </w:r>
      <w:r w:rsidRPr="00FD36E7">
        <w:rPr>
          <w:rFonts w:cs="Arial"/>
          <w:color w:val="404040" w:themeColor="text1" w:themeTint="BF"/>
        </w:rPr>
        <w:t>m</w:t>
      </w:r>
      <w:r w:rsidRPr="00FD36E7">
        <w:rPr>
          <w:rFonts w:cs="Arial"/>
          <w:color w:val="404040" w:themeColor="text1" w:themeTint="BF"/>
        </w:rPr>
        <w:t xml:space="preserve">richter, E/A-Systeme, Controller und sogar einfache Sensoren sowie Aktoren. Für die Verbindung dieser Ethernet Devices mit dem Netzwerk reicht mittlerweile der </w:t>
      </w:r>
      <w:proofErr w:type="spellStart"/>
      <w:r w:rsidRPr="00FD36E7">
        <w:rPr>
          <w:rFonts w:cs="Arial"/>
          <w:color w:val="404040" w:themeColor="text1" w:themeTint="BF"/>
        </w:rPr>
        <w:t>Unmanaged</w:t>
      </w:r>
      <w:proofErr w:type="spellEnd"/>
      <w:r w:rsidRPr="00FD36E7">
        <w:rPr>
          <w:rFonts w:cs="Arial"/>
          <w:color w:val="404040" w:themeColor="text1" w:themeTint="BF"/>
        </w:rPr>
        <w:t xml:space="preserve"> 5- oder 8-Port Switch, der dort seit zehn und mehr Jahren seinen Dienst an der Maschine oder der Anlage tut, nicht mehr aus. Da mit der A</w:t>
      </w:r>
      <w:r w:rsidRPr="00FD36E7">
        <w:rPr>
          <w:rFonts w:cs="Arial"/>
          <w:color w:val="404040" w:themeColor="text1" w:themeTint="BF"/>
        </w:rPr>
        <w:t>n</w:t>
      </w:r>
      <w:r w:rsidRPr="00FD36E7">
        <w:rPr>
          <w:rFonts w:cs="Arial"/>
          <w:color w:val="404040" w:themeColor="text1" w:themeTint="BF"/>
        </w:rPr>
        <w:t>zahl der Geräte automatisch auch die Komplexität des Netzwerks drastisch zunimmt, werden Ethernet Switche für die DIN-Schiene mit hoher Port-Dichte und komfortablen Netzwerk-Management-Funktionen ben</w:t>
      </w:r>
      <w:r w:rsidRPr="00FD36E7">
        <w:rPr>
          <w:rFonts w:cs="Arial"/>
          <w:color w:val="404040" w:themeColor="text1" w:themeTint="BF"/>
        </w:rPr>
        <w:t>ö</w:t>
      </w:r>
      <w:r w:rsidRPr="00FD36E7">
        <w:rPr>
          <w:rFonts w:cs="Arial"/>
          <w:color w:val="404040" w:themeColor="text1" w:themeTint="BF"/>
        </w:rPr>
        <w:t>tigt.</w:t>
      </w:r>
    </w:p>
    <w:p w:rsidR="007C0C12" w:rsidRPr="00FD36E7" w:rsidRDefault="007C0C12" w:rsidP="007C0C12">
      <w:pPr>
        <w:spacing w:line="276" w:lineRule="auto"/>
        <w:rPr>
          <w:rFonts w:cs="Arial"/>
          <w:color w:val="404040" w:themeColor="text1" w:themeTint="BF"/>
        </w:rPr>
      </w:pPr>
      <w:r w:rsidRPr="00FD36E7">
        <w:rPr>
          <w:rFonts w:cs="Arial"/>
          <w:color w:val="404040" w:themeColor="text1" w:themeTint="BF"/>
        </w:rPr>
        <w:t xml:space="preserve">Der industrielle Ethernet Switch IGS-20040MT </w:t>
      </w:r>
      <w:r>
        <w:rPr>
          <w:rFonts w:cs="Arial"/>
          <w:color w:val="404040" w:themeColor="text1" w:themeTint="BF"/>
        </w:rPr>
        <w:t xml:space="preserve">von Spectra </w:t>
      </w:r>
      <w:r w:rsidRPr="00FD36E7">
        <w:rPr>
          <w:rFonts w:cs="Arial"/>
          <w:color w:val="404040" w:themeColor="text1" w:themeTint="BF"/>
        </w:rPr>
        <w:t>bietet mit seinen 16x 10/100/1000TX Ports und 4x 100/1000FX (SFP) Ports eine extrem hohe Konnektivität bei geringsten Abmessungen. Zu seinen Lei</w:t>
      </w:r>
      <w:r w:rsidRPr="00FD36E7">
        <w:rPr>
          <w:rFonts w:cs="Arial"/>
          <w:color w:val="404040" w:themeColor="text1" w:themeTint="BF"/>
        </w:rPr>
        <w:t>s</w:t>
      </w:r>
      <w:r w:rsidRPr="00FD36E7">
        <w:rPr>
          <w:rFonts w:cs="Arial"/>
          <w:color w:val="404040" w:themeColor="text1" w:themeTint="BF"/>
        </w:rPr>
        <w:t>tungsmerkmalen zählen u.a. eine Netzwerkredundanz durch ERPS- Ringfunktion, eine redundante Spa</w:t>
      </w:r>
      <w:r w:rsidRPr="00FD36E7">
        <w:rPr>
          <w:rFonts w:cs="Arial"/>
          <w:color w:val="404040" w:themeColor="text1" w:themeTint="BF"/>
        </w:rPr>
        <w:t>n</w:t>
      </w:r>
      <w:r w:rsidRPr="00FD36E7">
        <w:rPr>
          <w:rFonts w:cs="Arial"/>
          <w:color w:val="404040" w:themeColor="text1" w:themeTint="BF"/>
        </w:rPr>
        <w:t>nungsversorgung von 9-48 VDC, ein Fehler-Alarm per Relais-Ausgang und je ein digitaler Ein-/Ausgang s</w:t>
      </w:r>
      <w:r w:rsidRPr="00FD36E7">
        <w:rPr>
          <w:rFonts w:cs="Arial"/>
          <w:color w:val="404040" w:themeColor="text1" w:themeTint="BF"/>
        </w:rPr>
        <w:t>o</w:t>
      </w:r>
      <w:r w:rsidRPr="00FD36E7">
        <w:rPr>
          <w:rFonts w:cs="Arial"/>
          <w:color w:val="404040" w:themeColor="text1" w:themeTint="BF"/>
        </w:rPr>
        <w:t xml:space="preserve">wie ein erweiterter Betriebstemperaturbereich von </w:t>
      </w:r>
      <w:r>
        <w:rPr>
          <w:rFonts w:cs="Arial"/>
          <w:color w:val="404040" w:themeColor="text1" w:themeTint="BF"/>
        </w:rPr>
        <w:t>-</w:t>
      </w:r>
      <w:r w:rsidRPr="00FD36E7">
        <w:rPr>
          <w:rFonts w:cs="Arial"/>
          <w:color w:val="404040" w:themeColor="text1" w:themeTint="BF"/>
        </w:rPr>
        <w:t>40</w:t>
      </w:r>
      <w:r>
        <w:rPr>
          <w:rFonts w:cs="Arial"/>
          <w:color w:val="404040" w:themeColor="text1" w:themeTint="BF"/>
        </w:rPr>
        <w:t> </w:t>
      </w:r>
      <w:r w:rsidRPr="00FD36E7">
        <w:rPr>
          <w:rFonts w:cs="Arial"/>
          <w:color w:val="404040" w:themeColor="text1" w:themeTint="BF"/>
        </w:rPr>
        <w:t>°C bis +75</w:t>
      </w:r>
      <w:r>
        <w:rPr>
          <w:rFonts w:cs="Arial"/>
          <w:color w:val="404040" w:themeColor="text1" w:themeTint="BF"/>
        </w:rPr>
        <w:t> </w:t>
      </w:r>
      <w:r w:rsidRPr="00FD36E7">
        <w:rPr>
          <w:rFonts w:cs="Arial"/>
          <w:color w:val="404040" w:themeColor="text1" w:themeTint="BF"/>
        </w:rPr>
        <w:t>°C.</w:t>
      </w:r>
      <w:r>
        <w:rPr>
          <w:rFonts w:cs="Arial"/>
          <w:color w:val="404040" w:themeColor="text1" w:themeTint="BF"/>
        </w:rPr>
        <w:t xml:space="preserve"> </w:t>
      </w:r>
      <w:r w:rsidRPr="00FD36E7">
        <w:rPr>
          <w:rFonts w:cs="Arial"/>
          <w:color w:val="404040" w:themeColor="text1" w:themeTint="BF"/>
        </w:rPr>
        <w:t>Die Einstellungen der Netzwerk-Management-Funktionen sind über Web, Telnet oder SNMP möglich und für die Datensicherheit kommen SSH, TLS und SNMPv3 zum Einsatz.</w:t>
      </w:r>
    </w:p>
    <w:p w:rsidR="007C0C12" w:rsidRPr="00FD36E7" w:rsidRDefault="007C0C12" w:rsidP="007C0C12">
      <w:pPr>
        <w:spacing w:line="276" w:lineRule="auto"/>
        <w:rPr>
          <w:rFonts w:cs="Arial"/>
          <w:color w:val="404040" w:themeColor="text1" w:themeTint="BF"/>
        </w:rPr>
      </w:pPr>
      <w:r w:rsidRPr="00FD36E7">
        <w:rPr>
          <w:rFonts w:cs="Arial"/>
          <w:color w:val="404040" w:themeColor="text1" w:themeTint="BF"/>
        </w:rPr>
        <w:t>Sind alle 16 Kupfer-Ports am Switch belegt, können mit Hilfe des SFP-Moduls "MGB-GT" nicht benötigte SFP-Ports</w:t>
      </w:r>
      <w:r>
        <w:rPr>
          <w:rFonts w:cs="Arial"/>
          <w:color w:val="404040" w:themeColor="text1" w:themeTint="BF"/>
        </w:rPr>
        <w:t xml:space="preserve"> in weitere Kupfer-Ports mit RJ</w:t>
      </w:r>
      <w:r w:rsidRPr="00FD36E7">
        <w:rPr>
          <w:rFonts w:cs="Arial"/>
          <w:color w:val="404040" w:themeColor="text1" w:themeTint="BF"/>
        </w:rPr>
        <w:t>45</w:t>
      </w:r>
      <w:r>
        <w:rPr>
          <w:rFonts w:cs="Arial"/>
          <w:color w:val="404040" w:themeColor="text1" w:themeTint="BF"/>
        </w:rPr>
        <w:t>-</w:t>
      </w:r>
      <w:r w:rsidRPr="00FD36E7">
        <w:rPr>
          <w:rFonts w:cs="Arial"/>
          <w:color w:val="404040" w:themeColor="text1" w:themeTint="BF"/>
        </w:rPr>
        <w:t>Anschluss gewandelt werden. Eine schnelle und unkomplizie</w:t>
      </w:r>
      <w:r w:rsidRPr="00FD36E7">
        <w:rPr>
          <w:rFonts w:cs="Arial"/>
          <w:color w:val="404040" w:themeColor="text1" w:themeTint="BF"/>
        </w:rPr>
        <w:t>r</w:t>
      </w:r>
      <w:r w:rsidRPr="00FD36E7">
        <w:rPr>
          <w:rFonts w:cs="Arial"/>
          <w:color w:val="404040" w:themeColor="text1" w:themeTint="BF"/>
        </w:rPr>
        <w:t xml:space="preserve">te </w:t>
      </w:r>
      <w:proofErr w:type="spellStart"/>
      <w:r w:rsidRPr="00FD36E7">
        <w:rPr>
          <w:rFonts w:cs="Arial"/>
          <w:color w:val="404040" w:themeColor="text1" w:themeTint="BF"/>
        </w:rPr>
        <w:t>Erweiterungsma</w:t>
      </w:r>
      <w:r>
        <w:rPr>
          <w:rFonts w:cs="Arial"/>
          <w:color w:val="404040" w:themeColor="text1" w:themeTint="BF"/>
        </w:rPr>
        <w:t>ss</w:t>
      </w:r>
      <w:r w:rsidRPr="00FD36E7">
        <w:rPr>
          <w:rFonts w:cs="Arial"/>
          <w:color w:val="404040" w:themeColor="text1" w:themeTint="BF"/>
        </w:rPr>
        <w:t>nahme</w:t>
      </w:r>
      <w:proofErr w:type="spellEnd"/>
      <w:r w:rsidRPr="00FD36E7">
        <w:rPr>
          <w:rFonts w:cs="Arial"/>
          <w:color w:val="404040" w:themeColor="text1" w:themeTint="BF"/>
        </w:rPr>
        <w:t>, die aufwendige Umbauten erst einmal vermeidet.</w:t>
      </w:r>
    </w:p>
    <w:p w:rsidR="007C0C12" w:rsidRDefault="007C0C12" w:rsidP="007C0C12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7C0C12" w:rsidRDefault="007C0C12" w:rsidP="007C0C12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B63A2C9" wp14:editId="4868C7FE">
            <wp:simplePos x="0" y="0"/>
            <wp:positionH relativeFrom="column">
              <wp:posOffset>3235325</wp:posOffset>
            </wp:positionH>
            <wp:positionV relativeFrom="paragraph">
              <wp:posOffset>146050</wp:posOffset>
            </wp:positionV>
            <wp:extent cx="2860040" cy="23450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C12" w:rsidRPr="00446A8E" w:rsidRDefault="007C0C12" w:rsidP="007C0C12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223</w:t>
      </w:r>
    </w:p>
    <w:p w:rsidR="007C0C12" w:rsidRPr="00446A8E" w:rsidRDefault="007C0C12" w:rsidP="007C0C12">
      <w:pPr>
        <w:spacing w:line="276" w:lineRule="auto"/>
      </w:pPr>
      <w:r w:rsidRPr="00446A8E">
        <w:rPr>
          <w:b/>
        </w:rPr>
        <w:t xml:space="preserve">Zeichen: </w:t>
      </w:r>
      <w:r>
        <w:t>171</w:t>
      </w:r>
      <w:bookmarkStart w:id="4" w:name="_GoBack"/>
      <w:bookmarkEnd w:id="4"/>
      <w:r>
        <w:t>0</w:t>
      </w:r>
      <w:r w:rsidRPr="00446A8E">
        <w:t xml:space="preserve"> (mit Leerzeichen)</w:t>
      </w:r>
      <w:r w:rsidRPr="00973ABC">
        <w:rPr>
          <w:noProof/>
        </w:rPr>
        <w:t xml:space="preserve"> </w:t>
      </w:r>
    </w:p>
    <w:p w:rsidR="007C0C12" w:rsidRPr="00FD36E7" w:rsidRDefault="007C0C12" w:rsidP="007C0C12">
      <w:pPr>
        <w:spacing w:line="276" w:lineRule="auto"/>
        <w:rPr>
          <w:rFonts w:cs="Arial"/>
          <w:bCs/>
        </w:rPr>
      </w:pPr>
      <w:r w:rsidRPr="00FD36E7">
        <w:rPr>
          <w:rFonts w:cs="Arial"/>
          <w:b/>
          <w:bCs/>
        </w:rPr>
        <w:t xml:space="preserve">Bild: </w:t>
      </w:r>
      <w:r w:rsidRPr="00FD36E7">
        <w:rPr>
          <w:rFonts w:cs="Arial"/>
          <w:bCs/>
        </w:rPr>
        <w:t>IGS-20040MT-20-Port_</w:t>
      </w:r>
      <w:r>
        <w:rPr>
          <w:rFonts w:cs="Arial"/>
          <w:bCs/>
        </w:rPr>
        <w:t>E</w:t>
      </w:r>
      <w:r w:rsidRPr="00FD36E7">
        <w:rPr>
          <w:rFonts w:cs="Arial"/>
          <w:bCs/>
        </w:rPr>
        <w:t>thernet_Switch.jpg</w:t>
      </w:r>
      <w:r w:rsidRPr="001A0751">
        <w:rPr>
          <w:noProof/>
        </w:rPr>
        <w:t xml:space="preserve"> </w:t>
      </w:r>
    </w:p>
    <w:p w:rsidR="00711606" w:rsidRDefault="00711606" w:rsidP="00711606">
      <w:pPr>
        <w:spacing w:line="276" w:lineRule="auto"/>
        <w:rPr>
          <w:b/>
        </w:rPr>
      </w:pP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23896"/>
    <w:rsid w:val="0074665B"/>
    <w:rsid w:val="007B0D4A"/>
    <w:rsid w:val="007C096A"/>
    <w:rsid w:val="007C0C12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1976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2020-03-20T08:35:00Z</cp:lastPrinted>
  <dcterms:created xsi:type="dcterms:W3CDTF">2020-07-10T11:54:00Z</dcterms:created>
  <dcterms:modified xsi:type="dcterms:W3CDTF">2020-07-10T11:56:00Z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