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277645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277645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27764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616538" w:rsidRPr="00143CCC" w:rsidRDefault="00616538" w:rsidP="00616538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616538" w:rsidRPr="00143CCC" w:rsidRDefault="00616538" w:rsidP="00616538">
      <w:pPr>
        <w:rPr>
          <w:rFonts w:ascii="Arial Black" w:hAnsi="Arial Black"/>
          <w:bCs/>
          <w:smallCaps/>
          <w:color w:val="808080"/>
          <w:sz w:val="32"/>
        </w:rPr>
      </w:pPr>
    </w:p>
    <w:p w:rsidR="00FF2B7C" w:rsidRDefault="00FF2B7C" w:rsidP="00FF2B7C">
      <w:r>
        <w:t>MS-98M9 Serie</w:t>
      </w:r>
      <w:r w:rsidRPr="00446A8E">
        <w:t>:</w:t>
      </w:r>
      <w:r>
        <w:t xml:space="preserve"> Leistungsstarke ATX Mainboards für </w:t>
      </w:r>
      <w:proofErr w:type="spellStart"/>
      <w:r>
        <w:t>Cascade</w:t>
      </w:r>
      <w:proofErr w:type="spellEnd"/>
      <w:r>
        <w:t xml:space="preserve"> Lake Prozessoren</w:t>
      </w:r>
      <w:r>
        <w:br/>
      </w:r>
    </w:p>
    <w:p w:rsidR="00FF2B7C" w:rsidRPr="00446A8E" w:rsidRDefault="00FF2B7C" w:rsidP="00FF2B7C"/>
    <w:p w:rsidR="00FF2B7C" w:rsidRDefault="00FF2B7C" w:rsidP="00FF2B7C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BILDVERARBEITUNG AUF HÖCHSTEM NIVEAU </w:t>
      </w:r>
    </w:p>
    <w:p w:rsidR="00FF2B7C" w:rsidRDefault="00FF2B7C" w:rsidP="00FF2B7C">
      <w:pPr>
        <w:spacing w:line="270" w:lineRule="atLeast"/>
        <w:rPr>
          <w:b/>
          <w:color w:val="00509F"/>
          <w:sz w:val="24"/>
          <w:szCs w:val="24"/>
        </w:rPr>
      </w:pPr>
      <w:bookmarkStart w:id="4" w:name="_GoBack"/>
      <w:bookmarkEnd w:id="4"/>
    </w:p>
    <w:p w:rsidR="00FF2B7C" w:rsidRPr="001B4780" w:rsidRDefault="00FF2B7C" w:rsidP="00FF2B7C">
      <w:pPr>
        <w:spacing w:line="276" w:lineRule="auto"/>
        <w:rPr>
          <w:rFonts w:cs="Arial"/>
          <w:color w:val="404040" w:themeColor="text1" w:themeTint="BF"/>
        </w:rPr>
      </w:pPr>
      <w:r w:rsidRPr="001B4780">
        <w:rPr>
          <w:rFonts w:cs="Arial"/>
          <w:color w:val="404040" w:themeColor="text1" w:themeTint="BF"/>
        </w:rPr>
        <w:t>Embedded Systeme für anspruchsvolle Aufgaben, wie z.B. in der Bildverarbeitung benötigen CPU-Boards, deren Performance den</w:t>
      </w:r>
      <w:r>
        <w:rPr>
          <w:rFonts w:cs="Arial"/>
          <w:color w:val="404040" w:themeColor="text1" w:themeTint="BF"/>
        </w:rPr>
        <w:t xml:space="preserve"> hohen</w:t>
      </w:r>
      <w:r w:rsidRPr="001B4780">
        <w:rPr>
          <w:rFonts w:cs="Arial"/>
          <w:color w:val="404040" w:themeColor="text1" w:themeTint="BF"/>
        </w:rPr>
        <w:t xml:space="preserve"> Anforderungen gewachsen </w:t>
      </w:r>
      <w:r>
        <w:rPr>
          <w:rFonts w:cs="Arial"/>
          <w:color w:val="404040" w:themeColor="text1" w:themeTint="BF"/>
        </w:rPr>
        <w:t>ist</w:t>
      </w:r>
      <w:r w:rsidRPr="001B4780">
        <w:rPr>
          <w:rFonts w:cs="Arial"/>
          <w:color w:val="404040" w:themeColor="text1" w:themeTint="BF"/>
        </w:rPr>
        <w:t xml:space="preserve">. </w:t>
      </w:r>
      <w:r>
        <w:rPr>
          <w:rFonts w:cs="Arial"/>
          <w:color w:val="404040" w:themeColor="text1" w:themeTint="BF"/>
        </w:rPr>
        <w:br/>
        <w:t xml:space="preserve">Mit den industriellen </w:t>
      </w:r>
      <w:r w:rsidRPr="001B4780">
        <w:rPr>
          <w:rFonts w:cs="Arial"/>
          <w:color w:val="404040" w:themeColor="text1" w:themeTint="BF"/>
        </w:rPr>
        <w:t>ATX Main</w:t>
      </w:r>
      <w:r>
        <w:rPr>
          <w:rFonts w:cs="Arial"/>
          <w:color w:val="404040" w:themeColor="text1" w:themeTint="BF"/>
        </w:rPr>
        <w:t>b</w:t>
      </w:r>
      <w:r w:rsidRPr="001B4780">
        <w:rPr>
          <w:rFonts w:cs="Arial"/>
          <w:color w:val="404040" w:themeColor="text1" w:themeTint="BF"/>
        </w:rPr>
        <w:t xml:space="preserve">oards der </w:t>
      </w:r>
      <w:r w:rsidRPr="001B4780">
        <w:rPr>
          <w:rFonts w:cs="Arial"/>
          <w:b/>
          <w:bCs/>
          <w:color w:val="404040" w:themeColor="text1" w:themeTint="BF"/>
        </w:rPr>
        <w:t>MS-98M9-Serie</w:t>
      </w:r>
      <w:r>
        <w:rPr>
          <w:rFonts w:cs="Arial"/>
          <w:b/>
          <w:bCs/>
          <w:color w:val="404040" w:themeColor="text1" w:themeTint="BF"/>
        </w:rPr>
        <w:t xml:space="preserve"> </w:t>
      </w:r>
      <w:r w:rsidRPr="002F2F37">
        <w:rPr>
          <w:rFonts w:cs="Arial"/>
          <w:bCs/>
          <w:color w:val="404040" w:themeColor="text1" w:themeTint="BF"/>
        </w:rPr>
        <w:t>von Spectra</w:t>
      </w:r>
      <w:r>
        <w:rPr>
          <w:rFonts w:cs="Arial"/>
          <w:color w:val="404040" w:themeColor="text1" w:themeTint="BF"/>
        </w:rPr>
        <w:t xml:space="preserve"> muss der </w:t>
      </w:r>
      <w:r w:rsidRPr="001B4780">
        <w:rPr>
          <w:rFonts w:cs="Arial"/>
          <w:color w:val="404040" w:themeColor="text1" w:themeTint="BF"/>
        </w:rPr>
        <w:t xml:space="preserve">Entwickler </w:t>
      </w:r>
      <w:r>
        <w:rPr>
          <w:rFonts w:cs="Arial"/>
          <w:color w:val="404040" w:themeColor="text1" w:themeTint="BF"/>
        </w:rPr>
        <w:t>in puncto Pe</w:t>
      </w:r>
      <w:r>
        <w:rPr>
          <w:rFonts w:cs="Arial"/>
          <w:color w:val="404040" w:themeColor="text1" w:themeTint="BF"/>
        </w:rPr>
        <w:t>r</w:t>
      </w:r>
      <w:r>
        <w:rPr>
          <w:rFonts w:cs="Arial"/>
          <w:color w:val="404040" w:themeColor="text1" w:themeTint="BF"/>
        </w:rPr>
        <w:t xml:space="preserve">formance </w:t>
      </w:r>
      <w:r w:rsidRPr="001B4780">
        <w:rPr>
          <w:rFonts w:cs="Arial"/>
          <w:color w:val="404040" w:themeColor="text1" w:themeTint="BF"/>
        </w:rPr>
        <w:t>keinen Kompromiss eingehen</w:t>
      </w:r>
      <w:r>
        <w:rPr>
          <w:rFonts w:cs="Arial"/>
          <w:color w:val="404040" w:themeColor="text1" w:themeTint="BF"/>
        </w:rPr>
        <w:t xml:space="preserve">. Sie sind das </w:t>
      </w:r>
      <w:r w:rsidRPr="001B4780">
        <w:rPr>
          <w:rFonts w:cs="Arial"/>
          <w:color w:val="404040" w:themeColor="text1" w:themeTint="BF"/>
        </w:rPr>
        <w:t>ideale Herzstück für skalierbare High-End Compute</w:t>
      </w:r>
      <w:r w:rsidRPr="001B4780">
        <w:rPr>
          <w:rFonts w:cs="Arial"/>
          <w:color w:val="404040" w:themeColor="text1" w:themeTint="BF"/>
        </w:rPr>
        <w:t>r</w:t>
      </w:r>
      <w:r w:rsidRPr="001B4780">
        <w:rPr>
          <w:rFonts w:cs="Arial"/>
          <w:color w:val="404040" w:themeColor="text1" w:themeTint="BF"/>
        </w:rPr>
        <w:t>systeme der neuesten Generation</w:t>
      </w:r>
      <w:r>
        <w:rPr>
          <w:rFonts w:cs="Arial"/>
          <w:color w:val="404040" w:themeColor="text1" w:themeTint="BF"/>
        </w:rPr>
        <w:t xml:space="preserve">. </w:t>
      </w:r>
      <w:r w:rsidRPr="001B4780">
        <w:rPr>
          <w:rFonts w:cs="Arial"/>
          <w:color w:val="404040" w:themeColor="text1" w:themeTint="BF"/>
        </w:rPr>
        <w:t xml:space="preserve">Entsprechend </w:t>
      </w:r>
      <w:r>
        <w:rPr>
          <w:rFonts w:cs="Arial"/>
          <w:color w:val="404040" w:themeColor="text1" w:themeTint="BF"/>
        </w:rPr>
        <w:t>der jeweiligen</w:t>
      </w:r>
      <w:r w:rsidRPr="001B4780">
        <w:rPr>
          <w:rFonts w:cs="Arial"/>
          <w:color w:val="404040" w:themeColor="text1" w:themeTint="BF"/>
        </w:rPr>
        <w:t xml:space="preserve"> Anforderungen </w:t>
      </w:r>
      <w:r>
        <w:rPr>
          <w:rFonts w:cs="Arial"/>
          <w:color w:val="404040" w:themeColor="text1" w:themeTint="BF"/>
        </w:rPr>
        <w:t>kann man</w:t>
      </w:r>
      <w:r w:rsidRPr="001B4780">
        <w:rPr>
          <w:rFonts w:cs="Arial"/>
          <w:color w:val="404040" w:themeColor="text1" w:themeTint="BF"/>
        </w:rPr>
        <w:t xml:space="preserve"> zwischen aktue</w:t>
      </w:r>
      <w:r w:rsidRPr="001B4780">
        <w:rPr>
          <w:rFonts w:cs="Arial"/>
          <w:color w:val="404040" w:themeColor="text1" w:themeTint="BF"/>
        </w:rPr>
        <w:t>l</w:t>
      </w:r>
      <w:r w:rsidRPr="001B4780">
        <w:rPr>
          <w:rFonts w:cs="Arial"/>
          <w:color w:val="404040" w:themeColor="text1" w:themeTint="BF"/>
        </w:rPr>
        <w:t>len Intel</w:t>
      </w:r>
      <w:r w:rsidRPr="001B4780">
        <w:rPr>
          <w:rFonts w:cs="Arial"/>
          <w:color w:val="404040" w:themeColor="text1" w:themeTint="BF"/>
          <w:vertAlign w:val="superscript"/>
        </w:rPr>
        <w:t>®</w:t>
      </w:r>
      <w:r w:rsidRPr="001B4780">
        <w:rPr>
          <w:rFonts w:cs="Arial"/>
          <w:color w:val="404040" w:themeColor="text1" w:themeTint="BF"/>
        </w:rPr>
        <w:t xml:space="preserve"> </w:t>
      </w:r>
      <w:proofErr w:type="spellStart"/>
      <w:r w:rsidRPr="001B4780">
        <w:rPr>
          <w:rFonts w:cs="Arial"/>
          <w:color w:val="404040" w:themeColor="text1" w:themeTint="BF"/>
        </w:rPr>
        <w:t>Cascade</w:t>
      </w:r>
      <w:proofErr w:type="spellEnd"/>
      <w:r w:rsidRPr="001B4780">
        <w:rPr>
          <w:rFonts w:cs="Arial"/>
          <w:color w:val="404040" w:themeColor="text1" w:themeTint="BF"/>
        </w:rPr>
        <w:t xml:space="preserve"> Lake und </w:t>
      </w:r>
      <w:proofErr w:type="spellStart"/>
      <w:r w:rsidRPr="001B4780">
        <w:rPr>
          <w:rFonts w:cs="Arial"/>
          <w:color w:val="404040" w:themeColor="text1" w:themeTint="BF"/>
        </w:rPr>
        <w:t>Skylake</w:t>
      </w:r>
      <w:proofErr w:type="spellEnd"/>
      <w:r w:rsidRPr="001B4780">
        <w:rPr>
          <w:rFonts w:cs="Arial"/>
          <w:color w:val="404040" w:themeColor="text1" w:themeTint="BF"/>
        </w:rPr>
        <w:t xml:space="preserve"> Xeon</w:t>
      </w:r>
      <w:r w:rsidRPr="001B4780">
        <w:rPr>
          <w:rFonts w:cs="Arial"/>
          <w:color w:val="404040" w:themeColor="text1" w:themeTint="BF"/>
          <w:vertAlign w:val="superscript"/>
        </w:rPr>
        <w:t xml:space="preserve">® </w:t>
      </w:r>
      <w:r w:rsidRPr="001B4780">
        <w:rPr>
          <w:rFonts w:cs="Arial"/>
          <w:color w:val="404040" w:themeColor="text1" w:themeTint="BF"/>
        </w:rPr>
        <w:t>Server Prozessoren bis 205 Watt (TDP) auswählen. </w:t>
      </w:r>
      <w:r>
        <w:rPr>
          <w:rFonts w:cs="Arial"/>
          <w:color w:val="404040" w:themeColor="text1" w:themeTint="BF"/>
        </w:rPr>
        <w:br/>
      </w:r>
      <w:r w:rsidRPr="001B4780">
        <w:rPr>
          <w:rFonts w:cs="Arial"/>
          <w:color w:val="404040" w:themeColor="text1" w:themeTint="BF"/>
        </w:rPr>
        <w:t xml:space="preserve">Zwei </w:t>
      </w:r>
      <w:proofErr w:type="spellStart"/>
      <w:r w:rsidRPr="001B4780">
        <w:rPr>
          <w:rFonts w:cs="Arial"/>
          <w:color w:val="404040" w:themeColor="text1" w:themeTint="BF"/>
        </w:rPr>
        <w:t>PCIe</w:t>
      </w:r>
      <w:proofErr w:type="spellEnd"/>
      <w:r w:rsidRPr="001B4780">
        <w:rPr>
          <w:rFonts w:cs="Arial"/>
          <w:color w:val="404040" w:themeColor="text1" w:themeTint="BF"/>
        </w:rPr>
        <w:t xml:space="preserve"> x16 Gen3 Steckplätze nehmen Hochleistungsgrafikkarten auf. Und je nach Art der Belegung des </w:t>
      </w:r>
      <w:proofErr w:type="spellStart"/>
      <w:r w:rsidRPr="001B4780">
        <w:rPr>
          <w:rFonts w:cs="Arial"/>
          <w:color w:val="404040" w:themeColor="text1" w:themeTint="BF"/>
        </w:rPr>
        <w:t>PCIe</w:t>
      </w:r>
      <w:proofErr w:type="spellEnd"/>
      <w:r w:rsidRPr="001B4780">
        <w:rPr>
          <w:rFonts w:cs="Arial"/>
          <w:color w:val="404040" w:themeColor="text1" w:themeTint="BF"/>
        </w:rPr>
        <w:t xml:space="preserve"> x16 Steckplatzes, können zusätzlich noch max. vier </w:t>
      </w:r>
      <w:proofErr w:type="spellStart"/>
      <w:r w:rsidRPr="001B4780">
        <w:rPr>
          <w:rFonts w:cs="Arial"/>
          <w:color w:val="404040" w:themeColor="text1" w:themeTint="BF"/>
        </w:rPr>
        <w:t>PCIe</w:t>
      </w:r>
      <w:proofErr w:type="spellEnd"/>
      <w:r w:rsidRPr="001B4780">
        <w:rPr>
          <w:rFonts w:cs="Arial"/>
          <w:color w:val="404040" w:themeColor="text1" w:themeTint="BF"/>
        </w:rPr>
        <w:t xml:space="preserve"> x8 Steckplätze für Erweiterungen genutzt werden.</w:t>
      </w:r>
    </w:p>
    <w:p w:rsidR="00FF2B7C" w:rsidRPr="001B4780" w:rsidRDefault="00FF2B7C" w:rsidP="00FF2B7C">
      <w:pPr>
        <w:spacing w:line="276" w:lineRule="auto"/>
        <w:rPr>
          <w:rFonts w:cs="Arial"/>
          <w:color w:val="404040" w:themeColor="text1" w:themeTint="BF"/>
        </w:rPr>
      </w:pPr>
      <w:r w:rsidRPr="001B4780">
        <w:rPr>
          <w:rFonts w:cs="Arial"/>
          <w:color w:val="404040" w:themeColor="text1" w:themeTint="BF"/>
        </w:rPr>
        <w:t>Die MS-98M9 Mainboards verfügen über sechs 288-pin RDIMM Sockel, mit denen sich max. 192 GB DDR4 (ECC) S</w:t>
      </w:r>
      <w:r w:rsidR="00B651C2">
        <w:rPr>
          <w:rFonts w:cs="Arial"/>
          <w:color w:val="404040" w:themeColor="text1" w:themeTint="BF"/>
        </w:rPr>
        <w:t>p</w:t>
      </w:r>
      <w:r w:rsidRPr="001B4780">
        <w:rPr>
          <w:rFonts w:cs="Arial"/>
          <w:color w:val="404040" w:themeColor="text1" w:themeTint="BF"/>
        </w:rPr>
        <w:t>eicherkapazität aufbauen lässt. Zwei Intel</w:t>
      </w:r>
      <w:r w:rsidRPr="001B4780">
        <w:rPr>
          <w:rFonts w:cs="Arial"/>
          <w:color w:val="404040" w:themeColor="text1" w:themeTint="BF"/>
          <w:vertAlign w:val="superscript"/>
        </w:rPr>
        <w:t>®</w:t>
      </w:r>
      <w:r w:rsidRPr="001B4780">
        <w:rPr>
          <w:rFonts w:cs="Arial"/>
          <w:color w:val="404040" w:themeColor="text1" w:themeTint="BF"/>
        </w:rPr>
        <w:t xml:space="preserve"> 10 Gigabit Ethernet LAN und zwei Intel</w:t>
      </w:r>
      <w:r w:rsidRPr="001B4780">
        <w:rPr>
          <w:rFonts w:cs="Arial"/>
          <w:color w:val="404040" w:themeColor="text1" w:themeTint="BF"/>
          <w:vertAlign w:val="superscript"/>
        </w:rPr>
        <w:t>®</w:t>
      </w:r>
      <w:r w:rsidRPr="001B4780">
        <w:rPr>
          <w:rFonts w:cs="Arial"/>
          <w:color w:val="404040" w:themeColor="text1" w:themeTint="BF"/>
        </w:rPr>
        <w:t xml:space="preserve"> Gigabit Ethe</w:t>
      </w:r>
      <w:r w:rsidRPr="001B4780">
        <w:rPr>
          <w:rFonts w:cs="Arial"/>
          <w:color w:val="404040" w:themeColor="text1" w:themeTint="BF"/>
        </w:rPr>
        <w:t>r</w:t>
      </w:r>
      <w:r w:rsidRPr="001B4780">
        <w:rPr>
          <w:rFonts w:cs="Arial"/>
          <w:color w:val="404040" w:themeColor="text1" w:themeTint="BF"/>
        </w:rPr>
        <w:t xml:space="preserve">net LAN sorgen für einen schnellen Datentransfer. </w:t>
      </w:r>
      <w:r>
        <w:rPr>
          <w:rFonts w:cs="Arial"/>
          <w:color w:val="404040" w:themeColor="text1" w:themeTint="BF"/>
        </w:rPr>
        <w:t>Zur</w:t>
      </w:r>
      <w:r w:rsidRPr="001B4780">
        <w:rPr>
          <w:rFonts w:cs="Arial"/>
          <w:color w:val="404040" w:themeColor="text1" w:themeTint="BF"/>
        </w:rPr>
        <w:t xml:space="preserve"> Erhöhung der Sicherheit stehen mit Intel</w:t>
      </w:r>
      <w:r w:rsidRPr="009D1561">
        <w:rPr>
          <w:rFonts w:cs="Arial"/>
          <w:color w:val="404040" w:themeColor="text1" w:themeTint="BF"/>
          <w:vertAlign w:val="superscript"/>
        </w:rPr>
        <w:t>®</w:t>
      </w:r>
      <w:r w:rsidRPr="001B4780">
        <w:rPr>
          <w:rFonts w:cs="Arial"/>
          <w:color w:val="404040" w:themeColor="text1" w:themeTint="BF"/>
        </w:rPr>
        <w:t xml:space="preserve"> VROC noch eine "Virtuelle RAID on CPU" Funktion mit maximal vier M.2 </w:t>
      </w:r>
      <w:proofErr w:type="spellStart"/>
      <w:r w:rsidRPr="001B4780">
        <w:rPr>
          <w:rFonts w:cs="Arial"/>
          <w:color w:val="404040" w:themeColor="text1" w:themeTint="BF"/>
        </w:rPr>
        <w:t>NVMe</w:t>
      </w:r>
      <w:proofErr w:type="spellEnd"/>
      <w:r w:rsidRPr="001B4780">
        <w:rPr>
          <w:rFonts w:cs="Arial"/>
          <w:color w:val="404040" w:themeColor="text1" w:themeTint="BF"/>
        </w:rPr>
        <w:t xml:space="preserve"> Speichern und ein optionaler TPM 2.0 Sockel zur Verfügung. </w:t>
      </w:r>
      <w:r>
        <w:rPr>
          <w:rFonts w:cs="Arial"/>
          <w:color w:val="404040" w:themeColor="text1" w:themeTint="BF"/>
        </w:rPr>
        <w:br/>
      </w:r>
      <w:r w:rsidRPr="001B4780">
        <w:rPr>
          <w:rFonts w:cs="Arial"/>
          <w:color w:val="404040" w:themeColor="text1" w:themeTint="BF"/>
        </w:rPr>
        <w:t>Ein 24/7 Dauerbetrieb ist in einem Betriebstemperaturbereich von 0</w:t>
      </w:r>
      <w:r>
        <w:rPr>
          <w:rFonts w:cs="Arial"/>
          <w:color w:val="404040" w:themeColor="text1" w:themeTint="BF"/>
        </w:rPr>
        <w:t>°C</w:t>
      </w:r>
      <w:r w:rsidRPr="001B4780">
        <w:rPr>
          <w:rFonts w:cs="Arial"/>
          <w:color w:val="404040" w:themeColor="text1" w:themeTint="BF"/>
        </w:rPr>
        <w:t xml:space="preserve"> bis +60°C möglich.</w:t>
      </w:r>
    </w:p>
    <w:p w:rsidR="00FF2B7C" w:rsidRDefault="00FF2B7C" w:rsidP="00FF2B7C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 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FF2B7C" w:rsidRDefault="00FF2B7C" w:rsidP="00FF2B7C">
      <w:pPr>
        <w:spacing w:line="276" w:lineRule="auto"/>
        <w:rPr>
          <w:rFonts w:cs="Arial"/>
          <w:color w:val="404040" w:themeColor="text1" w:themeTint="BF"/>
        </w:rPr>
      </w:pPr>
    </w:p>
    <w:p w:rsidR="00FF2B7C" w:rsidRPr="00446A8E" w:rsidRDefault="00FF2B7C" w:rsidP="00FF2B7C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4EA9518" wp14:editId="1666997B">
            <wp:simplePos x="0" y="0"/>
            <wp:positionH relativeFrom="column">
              <wp:posOffset>2828041</wp:posOffset>
            </wp:positionH>
            <wp:positionV relativeFrom="paragraph">
              <wp:posOffset>139286</wp:posOffset>
            </wp:positionV>
            <wp:extent cx="2758758" cy="2266122"/>
            <wp:effectExtent l="0" t="0" r="381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758" cy="226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B7C" w:rsidRPr="00446A8E" w:rsidRDefault="00FF2B7C" w:rsidP="00FF2B7C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191</w:t>
      </w:r>
    </w:p>
    <w:p w:rsidR="00FF2B7C" w:rsidRPr="00446A8E" w:rsidRDefault="00FF2B7C" w:rsidP="00FF2B7C">
      <w:pPr>
        <w:spacing w:line="276" w:lineRule="auto"/>
      </w:pPr>
      <w:r w:rsidRPr="00446A8E">
        <w:rPr>
          <w:b/>
        </w:rPr>
        <w:t xml:space="preserve">Zeichen: </w:t>
      </w:r>
      <w:r>
        <w:t>1391</w:t>
      </w:r>
      <w:r w:rsidRPr="00446A8E">
        <w:t xml:space="preserve"> (mit Leerzeichen)</w:t>
      </w:r>
    </w:p>
    <w:p w:rsidR="00FF2B7C" w:rsidRPr="00B651C2" w:rsidRDefault="00FF2B7C" w:rsidP="00FF2B7C">
      <w:pPr>
        <w:spacing w:line="276" w:lineRule="auto"/>
        <w:rPr>
          <w:rFonts w:cs="Arial"/>
          <w:bCs/>
        </w:rPr>
      </w:pPr>
      <w:r w:rsidRPr="00B651C2">
        <w:rPr>
          <w:rFonts w:cs="Arial"/>
          <w:b/>
          <w:bCs/>
        </w:rPr>
        <w:t xml:space="preserve">Bild: </w:t>
      </w:r>
      <w:r w:rsidRPr="00B651C2">
        <w:rPr>
          <w:rFonts w:cs="Arial"/>
          <w:bCs/>
        </w:rPr>
        <w:t>Spectra-MS-98M9-ATX-Mainboard.jpg</w:t>
      </w:r>
    </w:p>
    <w:p w:rsidR="00616538" w:rsidRPr="00B651C2" w:rsidRDefault="00616538" w:rsidP="00616538">
      <w:pPr>
        <w:spacing w:line="276" w:lineRule="auto"/>
        <w:rPr>
          <w:b/>
        </w:rPr>
      </w:pPr>
    </w:p>
    <w:p w:rsidR="00151C5A" w:rsidRPr="00B651C2" w:rsidRDefault="00151C5A" w:rsidP="00616538">
      <w:pPr>
        <w:spacing w:line="276" w:lineRule="auto"/>
        <w:rPr>
          <w:b/>
        </w:rPr>
      </w:pPr>
    </w:p>
    <w:p w:rsidR="00616538" w:rsidRPr="00E65F6B" w:rsidRDefault="00616538" w:rsidP="00616538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616538" w:rsidRPr="00E65F6B" w:rsidRDefault="00616538" w:rsidP="00616538">
      <w:pPr>
        <w:spacing w:line="276" w:lineRule="auto"/>
      </w:pPr>
      <w:r w:rsidRPr="00E65F6B">
        <w:t xml:space="preserve">Jacqueline Nedialkov </w:t>
      </w:r>
    </w:p>
    <w:p w:rsidR="00616538" w:rsidRPr="00E65F6B" w:rsidRDefault="00616538" w:rsidP="00616538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616538" w:rsidRPr="0049665C" w:rsidRDefault="00616538" w:rsidP="00616538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616538" w:rsidRPr="0049665C" w:rsidRDefault="00616538" w:rsidP="00616538">
      <w:pPr>
        <w:rPr>
          <w:color w:val="333399"/>
        </w:rPr>
      </w:pPr>
    </w:p>
    <w:p w:rsidR="00616538" w:rsidRPr="0049665C" w:rsidRDefault="00616538" w:rsidP="00616538">
      <w:pPr>
        <w:rPr>
          <w:color w:val="333399"/>
        </w:rPr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Alexander Einzinger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info@spectra-austria.at</w:t>
      </w:r>
    </w:p>
    <w:p w:rsidR="0046384A" w:rsidRPr="006B22DF" w:rsidRDefault="0046384A" w:rsidP="0046384A">
      <w:r w:rsidRPr="006B22DF">
        <w:t>Tel. +43 (0) 72 40-201 90</w:t>
      </w:r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1735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51C5A"/>
    <w:rsid w:val="00167E32"/>
    <w:rsid w:val="001A2722"/>
    <w:rsid w:val="001D049B"/>
    <w:rsid w:val="00233036"/>
    <w:rsid w:val="00257A54"/>
    <w:rsid w:val="00264538"/>
    <w:rsid w:val="00277645"/>
    <w:rsid w:val="0028307F"/>
    <w:rsid w:val="00297011"/>
    <w:rsid w:val="002A60D6"/>
    <w:rsid w:val="002B4FDB"/>
    <w:rsid w:val="002E1BFE"/>
    <w:rsid w:val="002F2A23"/>
    <w:rsid w:val="002F49B8"/>
    <w:rsid w:val="00311118"/>
    <w:rsid w:val="00311A59"/>
    <w:rsid w:val="00317556"/>
    <w:rsid w:val="00341B95"/>
    <w:rsid w:val="00342DC3"/>
    <w:rsid w:val="00353149"/>
    <w:rsid w:val="003559B8"/>
    <w:rsid w:val="003727D7"/>
    <w:rsid w:val="003C14A6"/>
    <w:rsid w:val="003C4B4C"/>
    <w:rsid w:val="003C4F26"/>
    <w:rsid w:val="003D22DC"/>
    <w:rsid w:val="003E1362"/>
    <w:rsid w:val="00446A8E"/>
    <w:rsid w:val="004556AE"/>
    <w:rsid w:val="0046384A"/>
    <w:rsid w:val="00470000"/>
    <w:rsid w:val="00487FA0"/>
    <w:rsid w:val="0049665C"/>
    <w:rsid w:val="004B790A"/>
    <w:rsid w:val="004D0EA5"/>
    <w:rsid w:val="004E4532"/>
    <w:rsid w:val="005231DA"/>
    <w:rsid w:val="00535FAA"/>
    <w:rsid w:val="00544AF7"/>
    <w:rsid w:val="00545D67"/>
    <w:rsid w:val="005550D2"/>
    <w:rsid w:val="00561140"/>
    <w:rsid w:val="005712CA"/>
    <w:rsid w:val="005B7B8E"/>
    <w:rsid w:val="005E1679"/>
    <w:rsid w:val="005E4E04"/>
    <w:rsid w:val="005F7CD2"/>
    <w:rsid w:val="005F7E3B"/>
    <w:rsid w:val="00616538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F1ACC"/>
    <w:rsid w:val="00B26507"/>
    <w:rsid w:val="00B33BFB"/>
    <w:rsid w:val="00B651C2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C190A"/>
    <w:rsid w:val="00EC2E04"/>
    <w:rsid w:val="00F55020"/>
    <w:rsid w:val="00F64FBB"/>
    <w:rsid w:val="00F65143"/>
    <w:rsid w:val="00FC5898"/>
    <w:rsid w:val="00FD1E27"/>
    <w:rsid w:val="00FE1422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1751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CG</cp:lastModifiedBy>
  <cp:revision>3</cp:revision>
  <cp:lastPrinted>2020-05-11T10:49:00Z</cp:lastPrinted>
  <dcterms:created xsi:type="dcterms:W3CDTF">2020-05-11T11:43:00Z</dcterms:created>
  <dcterms:modified xsi:type="dcterms:W3CDTF">2020-05-19T08:53:00Z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