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A4B9F" w:rsidRPr="00143CCC" w:rsidRDefault="001A4B9F" w:rsidP="001A4B9F">
      <w:pPr>
        <w:rPr>
          <w:rFonts w:ascii="Arial Black" w:hAnsi="Arial Black"/>
          <w:bCs/>
          <w:smallCaps/>
          <w:color w:val="808080"/>
          <w:sz w:val="32"/>
        </w:rPr>
      </w:pPr>
    </w:p>
    <w:p w:rsidR="006B5D9A" w:rsidRPr="009C5A40" w:rsidRDefault="006B5D9A" w:rsidP="006B5D9A">
      <w:r w:rsidRPr="009C5A40">
        <w:t>IGS-1600T:  Switch mit hoher Port-</w:t>
      </w:r>
      <w:r>
        <w:t>Dichte für die Hutschiene</w:t>
      </w:r>
    </w:p>
    <w:p w:rsidR="006B5D9A" w:rsidRPr="009C5A40" w:rsidRDefault="006B5D9A" w:rsidP="006B5D9A"/>
    <w:p w:rsidR="006B5D9A" w:rsidRDefault="006B5D9A" w:rsidP="006B5D9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ETHERNET KOMPONENTEN EINFACH VERNETZEN </w:t>
      </w:r>
    </w:p>
    <w:p w:rsidR="006B5D9A" w:rsidRDefault="006B5D9A" w:rsidP="006B5D9A">
      <w:pPr>
        <w:spacing w:line="270" w:lineRule="atLeast"/>
        <w:rPr>
          <w:b/>
          <w:color w:val="00509F"/>
          <w:sz w:val="24"/>
          <w:szCs w:val="24"/>
        </w:rPr>
      </w:pP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Heutzutage benötigen Maschinen- und Anlagennetze schnelle Ethernet-Verbindungen, die durch den Ei</w:t>
      </w:r>
      <w:r w:rsidRPr="009C5A40"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>satz von Multi-Port Ethernet Switches an den Knotenpunkten realisiert werden.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Spectra stellt den </w:t>
      </w:r>
      <w:r w:rsidRPr="009C5A40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 xml:space="preserve"> Ethernet Switch </w:t>
      </w:r>
      <w:r w:rsidRPr="009C5A40">
        <w:rPr>
          <w:rFonts w:cs="Arial"/>
          <w:b/>
          <w:color w:val="404040" w:themeColor="text1" w:themeTint="BF"/>
        </w:rPr>
        <w:t>IGS-1600T</w:t>
      </w:r>
      <w:r w:rsidRPr="009C5A4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vor, der mit seinen 16</w:t>
      </w:r>
      <w:r w:rsidRPr="009C5A40">
        <w:rPr>
          <w:rFonts w:cs="Arial"/>
          <w:color w:val="404040" w:themeColor="text1" w:themeTint="BF"/>
        </w:rPr>
        <w:t xml:space="preserve"> </w:t>
      </w:r>
      <w:proofErr w:type="spellStart"/>
      <w:r w:rsidRPr="009C5A40">
        <w:rPr>
          <w:rFonts w:cs="Arial"/>
          <w:color w:val="404040" w:themeColor="text1" w:themeTint="BF"/>
        </w:rPr>
        <w:t>Full</w:t>
      </w:r>
      <w:proofErr w:type="spellEnd"/>
      <w:r w:rsidRPr="009C5A40">
        <w:rPr>
          <w:rFonts w:cs="Arial"/>
          <w:color w:val="404040" w:themeColor="text1" w:themeTint="BF"/>
        </w:rPr>
        <w:t>-Gigabit-Ports und dem kompakten Design eine Vielzahl von Ethernet-Komponenten auf engstem Raum miteinander und mit dem lokalen Netzwerk verbinden</w:t>
      </w:r>
      <w:r>
        <w:rPr>
          <w:rFonts w:cs="Arial"/>
          <w:color w:val="404040" w:themeColor="text1" w:themeTint="BF"/>
        </w:rPr>
        <w:t xml:space="preserve"> kann</w:t>
      </w:r>
      <w:r w:rsidRPr="009C5A40">
        <w:rPr>
          <w:rFonts w:cs="Arial"/>
          <w:color w:val="404040" w:themeColor="text1" w:themeTint="BF"/>
        </w:rPr>
        <w:t xml:space="preserve">. Einfach mit Spannung versorgen und </w:t>
      </w:r>
      <w:proofErr w:type="gramStart"/>
      <w:r w:rsidRPr="009C5A40">
        <w:rPr>
          <w:rFonts w:cs="Arial"/>
          <w:color w:val="404040" w:themeColor="text1" w:themeTint="BF"/>
        </w:rPr>
        <w:t>loslegen</w:t>
      </w:r>
      <w:r>
        <w:rPr>
          <w:rFonts w:cs="Arial"/>
          <w:color w:val="404040" w:themeColor="text1" w:themeTint="BF"/>
        </w:rPr>
        <w:t xml:space="preserve"> </w:t>
      </w:r>
      <w:r w:rsidRPr="009C5A40">
        <w:rPr>
          <w:rFonts w:cs="Arial"/>
          <w:color w:val="404040" w:themeColor="text1" w:themeTint="BF"/>
        </w:rPr>
        <w:t>!</w:t>
      </w:r>
      <w:proofErr w:type="gramEnd"/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 xml:space="preserve">Der </w:t>
      </w:r>
      <w:r w:rsidRPr="009C5A40">
        <w:rPr>
          <w:rFonts w:cs="Arial"/>
          <w:bCs/>
          <w:color w:val="404040" w:themeColor="text1" w:themeTint="BF"/>
        </w:rPr>
        <w:t>IGS-1600T</w:t>
      </w:r>
      <w:r w:rsidRPr="009C5A40">
        <w:rPr>
          <w:rFonts w:cs="Arial"/>
          <w:color w:val="404040" w:themeColor="text1" w:themeTint="BF"/>
        </w:rPr>
        <w:t xml:space="preserve"> erfüllt alle Ansprüche, die an einen zuverlässigen Industrie-Switch gestellt werden. Ein r</w:t>
      </w:r>
      <w:r w:rsidRPr="009C5A40">
        <w:rPr>
          <w:rFonts w:cs="Arial"/>
          <w:color w:val="404040" w:themeColor="text1" w:themeTint="BF"/>
        </w:rPr>
        <w:t>o</w:t>
      </w:r>
      <w:r w:rsidRPr="009C5A40">
        <w:rPr>
          <w:rFonts w:cs="Arial"/>
          <w:color w:val="404040" w:themeColor="text1" w:themeTint="BF"/>
        </w:rPr>
        <w:t>bustes Metallgehäuse in IP30, ein erweiterter Betriebstemperaturbereich von -40°C bis +75°C, eine redu</w:t>
      </w:r>
      <w:r w:rsidRPr="009C5A40">
        <w:rPr>
          <w:rFonts w:cs="Arial"/>
          <w:color w:val="404040" w:themeColor="text1" w:themeTint="BF"/>
        </w:rPr>
        <w:t>n</w:t>
      </w:r>
      <w:r w:rsidRPr="009C5A40">
        <w:rPr>
          <w:rFonts w:cs="Arial"/>
          <w:color w:val="404040" w:themeColor="text1" w:themeTint="BF"/>
        </w:rPr>
        <w:t xml:space="preserve">dante und </w:t>
      </w:r>
      <w:proofErr w:type="spellStart"/>
      <w:r w:rsidRPr="009C5A40">
        <w:rPr>
          <w:rFonts w:cs="Arial"/>
          <w:color w:val="404040" w:themeColor="text1" w:themeTint="BF"/>
        </w:rPr>
        <w:t>verpolungssichere</w:t>
      </w:r>
      <w:proofErr w:type="spellEnd"/>
      <w:r w:rsidRPr="009C5A40">
        <w:rPr>
          <w:rFonts w:cs="Arial"/>
          <w:color w:val="404040" w:themeColor="text1" w:themeTint="BF"/>
        </w:rPr>
        <w:t xml:space="preserve"> Spannungsversorgung von 12 bis 48VDC und eine 6kV ESD </w:t>
      </w:r>
      <w:proofErr w:type="spellStart"/>
      <w:r w:rsidRPr="009C5A40">
        <w:rPr>
          <w:rFonts w:cs="Arial"/>
          <w:color w:val="404040" w:themeColor="text1" w:themeTint="BF"/>
        </w:rPr>
        <w:t>Protection</w:t>
      </w:r>
      <w:proofErr w:type="spellEnd"/>
      <w:r w:rsidRPr="009C5A40">
        <w:rPr>
          <w:rFonts w:cs="Arial"/>
          <w:color w:val="404040" w:themeColor="text1" w:themeTint="BF"/>
        </w:rPr>
        <w:t>.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Alle 16 Ports beherrschen 10/100/1000TX inkl. MDI/MDIX, Auto-</w:t>
      </w:r>
      <w:proofErr w:type="spellStart"/>
      <w:r w:rsidRPr="009C5A40">
        <w:rPr>
          <w:rFonts w:cs="Arial"/>
          <w:color w:val="404040" w:themeColor="text1" w:themeTint="BF"/>
        </w:rPr>
        <w:t>Negotiation</w:t>
      </w:r>
      <w:proofErr w:type="spellEnd"/>
      <w:r w:rsidRPr="009C5A40">
        <w:rPr>
          <w:rFonts w:cs="Arial"/>
          <w:color w:val="404040" w:themeColor="text1" w:themeTint="BF"/>
        </w:rPr>
        <w:t xml:space="preserve"> und Half/</w:t>
      </w:r>
      <w:proofErr w:type="spellStart"/>
      <w:r w:rsidRPr="009C5A40">
        <w:rPr>
          <w:rFonts w:cs="Arial"/>
          <w:color w:val="404040" w:themeColor="text1" w:themeTint="BF"/>
        </w:rPr>
        <w:t>Full</w:t>
      </w:r>
      <w:proofErr w:type="spellEnd"/>
      <w:r w:rsidRPr="009C5A40">
        <w:rPr>
          <w:rFonts w:cs="Arial"/>
          <w:color w:val="404040" w:themeColor="text1" w:themeTint="BF"/>
        </w:rPr>
        <w:t xml:space="preserve"> Duplex.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 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Die geringe Leistungsaufnahme von ca. 10W und die eingebaute EEE-Stromsparfunktion nach IEEE 802.az (</w:t>
      </w:r>
      <w:proofErr w:type="spellStart"/>
      <w:r w:rsidRPr="009C5A40">
        <w:rPr>
          <w:rFonts w:cs="Arial"/>
          <w:color w:val="404040" w:themeColor="text1" w:themeTint="BF"/>
        </w:rPr>
        <w:t>Energy</w:t>
      </w:r>
      <w:proofErr w:type="spellEnd"/>
      <w:r w:rsidRPr="009C5A40">
        <w:rPr>
          <w:rFonts w:cs="Arial"/>
          <w:color w:val="404040" w:themeColor="text1" w:themeTint="BF"/>
        </w:rPr>
        <w:t xml:space="preserve"> </w:t>
      </w:r>
      <w:proofErr w:type="spellStart"/>
      <w:r w:rsidRPr="009C5A40">
        <w:rPr>
          <w:rFonts w:cs="Arial"/>
          <w:color w:val="404040" w:themeColor="text1" w:themeTint="BF"/>
        </w:rPr>
        <w:t>Efficient</w:t>
      </w:r>
      <w:proofErr w:type="spellEnd"/>
      <w:r w:rsidRPr="009C5A40">
        <w:rPr>
          <w:rFonts w:cs="Arial"/>
          <w:color w:val="404040" w:themeColor="text1" w:themeTint="BF"/>
        </w:rPr>
        <w:t xml:space="preserve"> Ethernet) zeigen das Engagement und die Verantwortung beim Thema "Green IT".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> </w:t>
      </w:r>
    </w:p>
    <w:p w:rsidR="006B5D9A" w:rsidRPr="009C5A40" w:rsidRDefault="006B5D9A" w:rsidP="006B5D9A">
      <w:pPr>
        <w:spacing w:line="276" w:lineRule="auto"/>
        <w:rPr>
          <w:rFonts w:cs="Arial"/>
          <w:color w:val="404040" w:themeColor="text1" w:themeTint="BF"/>
        </w:rPr>
      </w:pPr>
      <w:r w:rsidRPr="009C5A40">
        <w:rPr>
          <w:rFonts w:cs="Arial"/>
          <w:color w:val="404040" w:themeColor="text1" w:themeTint="BF"/>
        </w:rPr>
        <w:t xml:space="preserve">Für Installationen, </w:t>
      </w:r>
      <w:r>
        <w:rPr>
          <w:rFonts w:cs="Arial"/>
          <w:color w:val="404040" w:themeColor="text1" w:themeTint="BF"/>
        </w:rPr>
        <w:t>in</w:t>
      </w:r>
      <w:r w:rsidRPr="009C5A40">
        <w:rPr>
          <w:rFonts w:cs="Arial"/>
          <w:color w:val="404040" w:themeColor="text1" w:themeTint="BF"/>
        </w:rPr>
        <w:t xml:space="preserve"> denen für den </w:t>
      </w:r>
      <w:proofErr w:type="spellStart"/>
      <w:r w:rsidRPr="009C5A40">
        <w:rPr>
          <w:rFonts w:cs="Arial"/>
          <w:color w:val="404040" w:themeColor="text1" w:themeTint="BF"/>
        </w:rPr>
        <w:t>Uplink</w:t>
      </w:r>
      <w:proofErr w:type="spellEnd"/>
      <w:r w:rsidRPr="009C5A40">
        <w:rPr>
          <w:rFonts w:cs="Arial"/>
          <w:color w:val="404040" w:themeColor="text1" w:themeTint="BF"/>
        </w:rPr>
        <w:t xml:space="preserve"> eine Glasfaserverbindung notwendig ist, bietet das Schwesterm</w:t>
      </w:r>
      <w:r w:rsidRPr="009C5A40">
        <w:rPr>
          <w:rFonts w:cs="Arial"/>
          <w:color w:val="404040" w:themeColor="text1" w:themeTint="BF"/>
        </w:rPr>
        <w:t>o</w:t>
      </w:r>
      <w:r w:rsidRPr="009C5A40">
        <w:rPr>
          <w:rFonts w:cs="Arial"/>
          <w:color w:val="404040" w:themeColor="text1" w:themeTint="BF"/>
        </w:rPr>
        <w:t>dell IGS-1820TF zu den 16x 1000TX-Ports noch zusätzlich 2x 1000 SFP-Ports an. Für den Einsatz in größ</w:t>
      </w:r>
      <w:r w:rsidRPr="009C5A40">
        <w:rPr>
          <w:rFonts w:cs="Arial"/>
          <w:color w:val="404040" w:themeColor="text1" w:themeTint="BF"/>
        </w:rPr>
        <w:t>e</w:t>
      </w:r>
      <w:r w:rsidRPr="009C5A40">
        <w:rPr>
          <w:rFonts w:cs="Arial"/>
          <w:color w:val="404040" w:themeColor="text1" w:themeTint="BF"/>
        </w:rPr>
        <w:t xml:space="preserve">ren, </w:t>
      </w:r>
      <w:proofErr w:type="spellStart"/>
      <w:r w:rsidRPr="009C5A40">
        <w:rPr>
          <w:rFonts w:cs="Arial"/>
          <w:color w:val="404040" w:themeColor="text1" w:themeTint="BF"/>
        </w:rPr>
        <w:t>managed</w:t>
      </w:r>
      <w:proofErr w:type="spellEnd"/>
      <w:r w:rsidRPr="009C5A40">
        <w:rPr>
          <w:rFonts w:cs="Arial"/>
          <w:color w:val="404040" w:themeColor="text1" w:themeTint="BF"/>
        </w:rPr>
        <w:t xml:space="preserve"> Netzwerken sind auch voll-administrierbare Switch-Modelle verfügbar.</w:t>
      </w:r>
    </w:p>
    <w:p w:rsidR="006B5D9A" w:rsidRDefault="006B5D9A" w:rsidP="006B5D9A">
      <w:pPr>
        <w:spacing w:line="276" w:lineRule="auto"/>
        <w:rPr>
          <w:rFonts w:cs="Arial"/>
          <w:color w:val="404040" w:themeColor="text1" w:themeTint="BF"/>
        </w:rPr>
      </w:pPr>
    </w:p>
    <w:p w:rsidR="006B5D9A" w:rsidRDefault="006B5D9A" w:rsidP="006B5D9A">
      <w:pPr>
        <w:spacing w:line="276" w:lineRule="auto"/>
        <w:rPr>
          <w:rFonts w:cs="Arial"/>
          <w:color w:val="404040" w:themeColor="text1" w:themeTint="BF"/>
        </w:rPr>
      </w:pPr>
    </w:p>
    <w:p w:rsidR="006B5D9A" w:rsidRPr="00446A8E" w:rsidRDefault="006B5D9A" w:rsidP="006B5D9A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CE6603" wp14:editId="7A2C4C51">
            <wp:simplePos x="0" y="0"/>
            <wp:positionH relativeFrom="column">
              <wp:posOffset>3775682</wp:posOffset>
            </wp:positionH>
            <wp:positionV relativeFrom="paragraph">
              <wp:posOffset>138568</wp:posOffset>
            </wp:positionV>
            <wp:extent cx="2342515" cy="271081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9A" w:rsidRPr="00446A8E" w:rsidRDefault="006B5D9A" w:rsidP="006B5D9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183</w:t>
      </w:r>
    </w:p>
    <w:p w:rsidR="006B5D9A" w:rsidRPr="00446A8E" w:rsidRDefault="006B5D9A" w:rsidP="006B5D9A">
      <w:pPr>
        <w:spacing w:line="276" w:lineRule="auto"/>
      </w:pPr>
      <w:r w:rsidRPr="00446A8E">
        <w:rPr>
          <w:b/>
        </w:rPr>
        <w:t xml:space="preserve">Zeichen: </w:t>
      </w:r>
      <w:r>
        <w:t>1438</w:t>
      </w:r>
      <w:r w:rsidRPr="00446A8E">
        <w:t xml:space="preserve"> (mit Leerzeichen)</w:t>
      </w:r>
    </w:p>
    <w:p w:rsidR="006B5D9A" w:rsidRPr="00880CF0" w:rsidRDefault="006B5D9A" w:rsidP="006B5D9A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 w:rsidRPr="0051570F">
        <w:rPr>
          <w:rFonts w:cs="Arial"/>
          <w:bCs/>
        </w:rPr>
        <w:t>Spectra-IGS-1600T-Ethernet-Switch-16-Full-Gigabit.jpg</w:t>
      </w:r>
      <w:r w:rsidRPr="0051341D">
        <w:rPr>
          <w:noProof/>
        </w:rPr>
        <w:t xml:space="preserve"> </w:t>
      </w:r>
    </w:p>
    <w:p w:rsidR="006B5D9A" w:rsidRPr="00880CF0" w:rsidRDefault="006B5D9A" w:rsidP="006B5D9A">
      <w:pPr>
        <w:spacing w:line="276" w:lineRule="auto"/>
        <w:rPr>
          <w:rFonts w:cs="Arial"/>
          <w:bCs/>
        </w:rPr>
      </w:pPr>
    </w:p>
    <w:p w:rsidR="006B5D9A" w:rsidRDefault="006B5D9A" w:rsidP="006B5D9A">
      <w:pPr>
        <w:spacing w:line="276" w:lineRule="auto"/>
        <w:rPr>
          <w:b/>
        </w:rPr>
      </w:pPr>
    </w:p>
    <w:p w:rsidR="006B5D9A" w:rsidRPr="00E65F6B" w:rsidRDefault="006B5D9A" w:rsidP="006B5D9A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B5D9A" w:rsidRPr="00E65F6B" w:rsidRDefault="006B5D9A" w:rsidP="006B5D9A">
      <w:pPr>
        <w:spacing w:line="276" w:lineRule="auto"/>
      </w:pPr>
      <w:r w:rsidRPr="00E65F6B">
        <w:t xml:space="preserve">Jacqueline Nedialkov </w:t>
      </w:r>
    </w:p>
    <w:p w:rsidR="006B5D9A" w:rsidRPr="00E65F6B" w:rsidRDefault="006B5D9A" w:rsidP="006B5D9A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B5D9A" w:rsidRPr="0049665C" w:rsidRDefault="006B5D9A" w:rsidP="006B5D9A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902FEB" w:rsidRDefault="00446A8E" w:rsidP="008E4598">
      <w:pPr>
        <w:spacing w:line="276" w:lineRule="auto"/>
        <w:rPr>
          <w:color w:val="333399"/>
        </w:rPr>
      </w:pPr>
      <w:bookmarkStart w:id="4" w:name="_GoBack"/>
      <w:bookmarkEnd w:id="4"/>
    </w:p>
    <w:p w:rsidR="00446A8E" w:rsidRPr="00902FEB" w:rsidRDefault="00446A8E" w:rsidP="008E4598">
      <w:pPr>
        <w:spacing w:line="276" w:lineRule="auto"/>
        <w:rPr>
          <w:color w:val="333399"/>
        </w:rPr>
      </w:pPr>
    </w:p>
    <w:p w:rsidR="006B22DF" w:rsidRPr="006B22DF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 xml:space="preserve">Alexander </w:t>
      </w:r>
      <w:proofErr w:type="spellStart"/>
      <w:r w:rsidRPr="008E4598">
        <w:rPr>
          <w:lang w:val="en-US"/>
        </w:rPr>
        <w:t>Einzinger</w:t>
      </w:r>
      <w:proofErr w:type="spellEnd"/>
    </w:p>
    <w:p w:rsidR="006B22DF" w:rsidRPr="008E4598" w:rsidRDefault="006B22DF" w:rsidP="008E4598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8E4598">
        <w:rPr>
          <w:lang w:val="en-US"/>
        </w:rPr>
        <w:t>info@spectra-austria.at</w:t>
      </w:r>
    </w:p>
    <w:p w:rsidR="00446A8E" w:rsidRPr="00902FEB" w:rsidRDefault="006B22DF" w:rsidP="008E4598">
      <w:pPr>
        <w:spacing w:line="276" w:lineRule="auto"/>
        <w:rPr>
          <w:color w:val="333399"/>
        </w:rPr>
      </w:pPr>
      <w:r w:rsidRPr="006B22DF">
        <w:t>Tel. +43 (0) 72 40-201 90</w:t>
      </w:r>
    </w:p>
    <w:bookmarkEnd w:id="3"/>
    <w:p w:rsidR="0033129D" w:rsidRPr="00902FEB" w:rsidRDefault="0033129D">
      <w:pPr>
        <w:rPr>
          <w:b/>
        </w:rPr>
      </w:pPr>
    </w:p>
    <w:sectPr w:rsidR="0033129D" w:rsidRPr="00902FEB" w:rsidSect="00732841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79787" wp14:editId="003CF5B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ABB8B0" wp14:editId="7FD902CA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732841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732841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732841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732841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74124"/>
    <w:rsid w:val="001A4B9F"/>
    <w:rsid w:val="001D049B"/>
    <w:rsid w:val="001F196A"/>
    <w:rsid w:val="002037A5"/>
    <w:rsid w:val="002071D8"/>
    <w:rsid w:val="00213473"/>
    <w:rsid w:val="00223D9E"/>
    <w:rsid w:val="00230B98"/>
    <w:rsid w:val="00230C40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96150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6B5D9A"/>
    <w:rsid w:val="006C51BF"/>
    <w:rsid w:val="00702E41"/>
    <w:rsid w:val="0071126E"/>
    <w:rsid w:val="00732841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E4598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1817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2018-08-30T09:41:00Z</cp:lastPrinted>
  <dcterms:created xsi:type="dcterms:W3CDTF">2020-01-30T15:51:00Z</dcterms:created>
  <dcterms:modified xsi:type="dcterms:W3CDTF">2020-01-30T15:51:00Z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