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bookmarkEnd w:id="0"/>
    <w:bookmarkEnd w:id="1"/>
    <w:bookmarkEnd w:id="2"/>
    <w:p w:rsidR="00E0606D" w:rsidRPr="00143CCC" w:rsidRDefault="00E0606D" w:rsidP="00E0606D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E0606D" w:rsidRPr="00143CCC" w:rsidRDefault="00E0606D" w:rsidP="00E0606D">
      <w:pPr>
        <w:rPr>
          <w:rFonts w:ascii="Arial Black" w:hAnsi="Arial Black"/>
          <w:bCs/>
          <w:smallCaps/>
          <w:color w:val="808080"/>
          <w:sz w:val="32"/>
        </w:rPr>
      </w:pPr>
    </w:p>
    <w:p w:rsidR="00E0606D" w:rsidRDefault="00E0606D" w:rsidP="00E0606D">
      <w:r>
        <w:t>MS-98L2-Serie</w:t>
      </w:r>
      <w:r w:rsidRPr="00446A8E">
        <w:t>:</w:t>
      </w:r>
      <w:r>
        <w:t xml:space="preserve"> Langzeitverfügbare Micro-ATX Boards</w:t>
      </w:r>
    </w:p>
    <w:p w:rsidR="00E0606D" w:rsidRPr="00446A8E" w:rsidRDefault="00E0606D" w:rsidP="00E0606D"/>
    <w:p w:rsidR="00E0606D" w:rsidRDefault="00E0606D" w:rsidP="00E0606D">
      <w:pPr>
        <w:spacing w:line="270" w:lineRule="atLeast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 xml:space="preserve">HEUTE DIE ENTSCHEIDUNG FÜR MORGEN TREFFEN </w:t>
      </w:r>
    </w:p>
    <w:p w:rsidR="00E0606D" w:rsidRDefault="00E0606D" w:rsidP="00E0606D">
      <w:pPr>
        <w:spacing w:line="270" w:lineRule="atLeast"/>
        <w:rPr>
          <w:b/>
          <w:color w:val="00509F"/>
          <w:sz w:val="24"/>
          <w:szCs w:val="24"/>
        </w:rPr>
      </w:pPr>
    </w:p>
    <w:p w:rsidR="00E0606D" w:rsidRPr="0067739B" w:rsidRDefault="00E0606D" w:rsidP="00E0606D">
      <w:pPr>
        <w:spacing w:line="276" w:lineRule="auto"/>
        <w:rPr>
          <w:rFonts w:cs="Arial"/>
          <w:color w:val="404040" w:themeColor="text1" w:themeTint="BF"/>
        </w:rPr>
      </w:pPr>
      <w:r w:rsidRPr="0067739B">
        <w:rPr>
          <w:rFonts w:cs="Arial"/>
          <w:color w:val="404040" w:themeColor="text1" w:themeTint="BF"/>
        </w:rPr>
        <w:t>Entwickler von Embedded Systemen müssen sich früh auf die Hauptbaugruppe, das CPU-Board festlegen. Eigenschaften wie Skalierbarkeit und Langzeitverfügbarkeit</w:t>
      </w:r>
      <w:r>
        <w:rPr>
          <w:rFonts w:cs="Arial"/>
          <w:color w:val="404040" w:themeColor="text1" w:themeTint="BF"/>
        </w:rPr>
        <w:t xml:space="preserve"> erleichtern es dem Entwickler </w:t>
      </w:r>
      <w:r w:rsidRPr="0067739B">
        <w:rPr>
          <w:rFonts w:cs="Arial"/>
          <w:color w:val="404040" w:themeColor="text1" w:themeTint="BF"/>
        </w:rPr>
        <w:t>"Heute die En</w:t>
      </w:r>
      <w:r w:rsidRPr="0067739B">
        <w:rPr>
          <w:rFonts w:cs="Arial"/>
          <w:color w:val="404040" w:themeColor="text1" w:themeTint="BF"/>
        </w:rPr>
        <w:t>t</w:t>
      </w:r>
      <w:r w:rsidRPr="0067739B">
        <w:rPr>
          <w:rFonts w:cs="Arial"/>
          <w:color w:val="404040" w:themeColor="text1" w:themeTint="BF"/>
        </w:rPr>
        <w:t>scheidung für morgen zu treffen".</w:t>
      </w:r>
    </w:p>
    <w:p w:rsidR="00E0606D" w:rsidRPr="0067739B" w:rsidRDefault="00E0606D" w:rsidP="00E0606D">
      <w:pPr>
        <w:spacing w:line="276" w:lineRule="auto"/>
        <w:rPr>
          <w:rFonts w:cs="Arial"/>
          <w:color w:val="404040" w:themeColor="text1" w:themeTint="BF"/>
        </w:rPr>
      </w:pPr>
      <w:r w:rsidRPr="0067739B">
        <w:rPr>
          <w:rFonts w:cs="Arial"/>
          <w:color w:val="404040" w:themeColor="text1" w:themeTint="BF"/>
        </w:rPr>
        <w:t>Die industriellen Micro-ATX Boards der MS-98L2-Serie sind die ideale Komponente für skalierbare High-End Computersysteme der neuesten Generation.</w:t>
      </w:r>
      <w:r>
        <w:rPr>
          <w:rFonts w:cs="Arial"/>
          <w:color w:val="404040" w:themeColor="text1" w:themeTint="BF"/>
        </w:rPr>
        <w:t xml:space="preserve"> </w:t>
      </w:r>
      <w:r w:rsidRPr="0067739B">
        <w:rPr>
          <w:rFonts w:cs="Arial"/>
          <w:color w:val="404040" w:themeColor="text1" w:themeTint="BF"/>
        </w:rPr>
        <w:t xml:space="preserve">Entsprechend </w:t>
      </w:r>
      <w:r>
        <w:rPr>
          <w:rFonts w:cs="Arial"/>
          <w:color w:val="404040" w:themeColor="text1" w:themeTint="BF"/>
        </w:rPr>
        <w:t>d</w:t>
      </w:r>
      <w:r w:rsidRPr="0067739B">
        <w:rPr>
          <w:rFonts w:cs="Arial"/>
          <w:color w:val="404040" w:themeColor="text1" w:themeTint="BF"/>
        </w:rPr>
        <w:t>en Anforderungen k</w:t>
      </w:r>
      <w:r>
        <w:rPr>
          <w:rFonts w:cs="Arial"/>
          <w:color w:val="404040" w:themeColor="text1" w:themeTint="BF"/>
        </w:rPr>
        <w:t>a</w:t>
      </w:r>
      <w:r w:rsidRPr="0067739B">
        <w:rPr>
          <w:rFonts w:cs="Arial"/>
          <w:color w:val="404040" w:themeColor="text1" w:themeTint="BF"/>
        </w:rPr>
        <w:t>nn</w:t>
      </w:r>
      <w:r>
        <w:rPr>
          <w:rFonts w:cs="Arial"/>
          <w:color w:val="404040" w:themeColor="text1" w:themeTint="BF"/>
        </w:rPr>
        <w:t xml:space="preserve"> </w:t>
      </w:r>
      <w:r w:rsidRPr="0067739B">
        <w:rPr>
          <w:rFonts w:cs="Arial"/>
          <w:color w:val="404040" w:themeColor="text1" w:themeTint="BF"/>
        </w:rPr>
        <w:t>zwischen aktuellen Coffee Lake-S Prozessoren von Intel</w:t>
      </w:r>
      <w:r w:rsidRPr="00F6102C">
        <w:rPr>
          <w:rFonts w:cs="Arial"/>
          <w:color w:val="404040" w:themeColor="text1" w:themeTint="BF"/>
          <w:vertAlign w:val="superscript"/>
        </w:rPr>
        <w:t>®</w:t>
      </w:r>
      <w:r w:rsidRPr="0067739B">
        <w:rPr>
          <w:rFonts w:cs="Arial"/>
          <w:color w:val="404040" w:themeColor="text1" w:themeTint="BF"/>
        </w:rPr>
        <w:t xml:space="preserve"> Celeron</w:t>
      </w:r>
      <w:r w:rsidRPr="00F6102C">
        <w:rPr>
          <w:rFonts w:cs="Arial"/>
          <w:color w:val="404040" w:themeColor="text1" w:themeTint="BF"/>
          <w:vertAlign w:val="superscript"/>
        </w:rPr>
        <w:t>®</w:t>
      </w:r>
      <w:r w:rsidRPr="0067739B">
        <w:rPr>
          <w:rFonts w:cs="Arial"/>
          <w:color w:val="404040" w:themeColor="text1" w:themeTint="BF"/>
        </w:rPr>
        <w:t xml:space="preserve"> bis Xeon</w:t>
      </w:r>
      <w:r w:rsidRPr="00F6102C">
        <w:rPr>
          <w:rFonts w:cs="Arial"/>
          <w:color w:val="404040" w:themeColor="text1" w:themeTint="BF"/>
          <w:vertAlign w:val="superscript"/>
        </w:rPr>
        <w:t>®</w:t>
      </w:r>
      <w:r w:rsidRPr="0067739B">
        <w:rPr>
          <w:rFonts w:cs="Arial"/>
          <w:color w:val="404040" w:themeColor="text1" w:themeTint="BF"/>
        </w:rPr>
        <w:t xml:space="preserve"> </w:t>
      </w:r>
      <w:r>
        <w:rPr>
          <w:rFonts w:cs="Arial"/>
          <w:color w:val="404040" w:themeColor="text1" w:themeTint="BF"/>
        </w:rPr>
        <w:t>ge</w:t>
      </w:r>
      <w:r w:rsidRPr="0067739B">
        <w:rPr>
          <w:rFonts w:cs="Arial"/>
          <w:color w:val="404040" w:themeColor="text1" w:themeTint="BF"/>
        </w:rPr>
        <w:t>wähl</w:t>
      </w:r>
      <w:r>
        <w:rPr>
          <w:rFonts w:cs="Arial"/>
          <w:color w:val="404040" w:themeColor="text1" w:themeTint="BF"/>
        </w:rPr>
        <w:t>t werde</w:t>
      </w:r>
      <w:r w:rsidRPr="0067739B">
        <w:rPr>
          <w:rFonts w:cs="Arial"/>
          <w:color w:val="404040" w:themeColor="text1" w:themeTint="BF"/>
        </w:rPr>
        <w:t>n.</w:t>
      </w:r>
      <w:r>
        <w:rPr>
          <w:rFonts w:cs="Arial"/>
          <w:color w:val="404040" w:themeColor="text1" w:themeTint="BF"/>
        </w:rPr>
        <w:t xml:space="preserve"> </w:t>
      </w:r>
      <w:r w:rsidRPr="0067739B">
        <w:rPr>
          <w:rFonts w:cs="Arial"/>
          <w:color w:val="404040" w:themeColor="text1" w:themeTint="BF"/>
        </w:rPr>
        <w:t>Diese Prozessoren sind über 15 Jahre verfügbar und für den 24h/7d-Dauerbetrieb geeignet.</w:t>
      </w:r>
    </w:p>
    <w:p w:rsidR="00E0606D" w:rsidRDefault="00E0606D" w:rsidP="00E0606D">
      <w:pPr>
        <w:spacing w:line="276" w:lineRule="auto"/>
        <w:rPr>
          <w:rFonts w:cs="Arial"/>
          <w:color w:val="404040" w:themeColor="text1" w:themeTint="BF"/>
        </w:rPr>
      </w:pPr>
      <w:r w:rsidRPr="0067739B">
        <w:rPr>
          <w:rFonts w:cs="Arial"/>
          <w:color w:val="404040" w:themeColor="text1" w:themeTint="BF"/>
        </w:rPr>
        <w:t xml:space="preserve">Die flexible Erweiterbarkeit über einen M.2, jeweils einen </w:t>
      </w:r>
      <w:proofErr w:type="spellStart"/>
      <w:r w:rsidRPr="0067739B">
        <w:rPr>
          <w:rFonts w:cs="Arial"/>
          <w:color w:val="404040" w:themeColor="text1" w:themeTint="BF"/>
        </w:rPr>
        <w:t>mPCIe</w:t>
      </w:r>
      <w:proofErr w:type="spellEnd"/>
      <w:r w:rsidRPr="0067739B">
        <w:rPr>
          <w:rFonts w:cs="Arial"/>
          <w:color w:val="404040" w:themeColor="text1" w:themeTint="BF"/>
        </w:rPr>
        <w:t xml:space="preserve"> und </w:t>
      </w:r>
      <w:proofErr w:type="spellStart"/>
      <w:r w:rsidRPr="0067739B">
        <w:rPr>
          <w:rFonts w:cs="Arial"/>
          <w:color w:val="404040" w:themeColor="text1" w:themeTint="BF"/>
        </w:rPr>
        <w:t>PCIe</w:t>
      </w:r>
      <w:proofErr w:type="spellEnd"/>
      <w:r w:rsidRPr="0067739B">
        <w:rPr>
          <w:rFonts w:cs="Arial"/>
          <w:color w:val="404040" w:themeColor="text1" w:themeTint="BF"/>
        </w:rPr>
        <w:t xml:space="preserve"> x16 </w:t>
      </w:r>
      <w:r>
        <w:rPr>
          <w:rFonts w:cs="Arial"/>
          <w:color w:val="404040" w:themeColor="text1" w:themeTint="BF"/>
        </w:rPr>
        <w:t xml:space="preserve">und drei </w:t>
      </w:r>
      <w:proofErr w:type="spellStart"/>
      <w:r>
        <w:rPr>
          <w:rFonts w:cs="Arial"/>
          <w:color w:val="404040" w:themeColor="text1" w:themeTint="BF"/>
        </w:rPr>
        <w:t>PCIe</w:t>
      </w:r>
      <w:proofErr w:type="spellEnd"/>
      <w:r>
        <w:rPr>
          <w:rFonts w:cs="Arial"/>
          <w:color w:val="404040" w:themeColor="text1" w:themeTint="BF"/>
        </w:rPr>
        <w:t xml:space="preserve"> x4 Steckplätze ermöglicht</w:t>
      </w:r>
      <w:r w:rsidRPr="0067739B">
        <w:rPr>
          <w:rFonts w:cs="Arial"/>
          <w:color w:val="404040" w:themeColor="text1" w:themeTint="BF"/>
        </w:rPr>
        <w:t xml:space="preserve"> die einfache Anpassung an zahlreiche Einsatzszenarien. Drei unabhängige Displays können per VGA, HDMI und Display Port angeschlossen werden. Der HDMI und der </w:t>
      </w:r>
      <w:proofErr w:type="spellStart"/>
      <w:r w:rsidRPr="0067739B">
        <w:rPr>
          <w:rFonts w:cs="Arial"/>
          <w:color w:val="404040" w:themeColor="text1" w:themeTint="BF"/>
        </w:rPr>
        <w:t>DisplayPort</w:t>
      </w:r>
      <w:proofErr w:type="spellEnd"/>
      <w:r w:rsidRPr="0067739B">
        <w:rPr>
          <w:rFonts w:cs="Arial"/>
          <w:color w:val="404040" w:themeColor="text1" w:themeTint="BF"/>
        </w:rPr>
        <w:t xml:space="preserve"> unterstützen eine hochauflösende Grafik bis 4.096 x 2.304 Pixel. </w:t>
      </w:r>
      <w:r>
        <w:rPr>
          <w:rFonts w:cs="Arial"/>
          <w:color w:val="404040" w:themeColor="text1" w:themeTint="BF"/>
        </w:rPr>
        <w:t>Für</w:t>
      </w:r>
      <w:r w:rsidRPr="0067739B">
        <w:rPr>
          <w:rFonts w:cs="Arial"/>
          <w:color w:val="404040" w:themeColor="text1" w:themeTint="BF"/>
        </w:rPr>
        <w:t xml:space="preserve"> einen schnellen Datentransfer sorgen vier GLAN und acht USB3.1 Schnittstellen.</w:t>
      </w:r>
      <w:r>
        <w:rPr>
          <w:rFonts w:cs="Arial"/>
          <w:color w:val="404040" w:themeColor="text1" w:themeTint="BF"/>
        </w:rPr>
        <w:t xml:space="preserve">  </w:t>
      </w:r>
    </w:p>
    <w:p w:rsidR="00E0606D" w:rsidRDefault="00E0606D" w:rsidP="00E0606D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Spectra bietet dieses Board auch als getestetes Board-Set mit Lüfter, Speicher, Netzteil und Betriebssystem an. </w:t>
      </w:r>
    </w:p>
    <w:p w:rsidR="00E0606D" w:rsidRDefault="00E0606D" w:rsidP="00E0606D">
      <w:pPr>
        <w:spacing w:line="276" w:lineRule="auto"/>
        <w:rPr>
          <w:rFonts w:cs="Arial"/>
          <w:color w:val="404040" w:themeColor="text1" w:themeTint="BF"/>
        </w:rPr>
      </w:pPr>
    </w:p>
    <w:p w:rsidR="00E0606D" w:rsidRPr="00446A8E" w:rsidRDefault="00E0606D" w:rsidP="00E0606D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>
        <w:t>160</w:t>
      </w:r>
    </w:p>
    <w:p w:rsidR="00E0606D" w:rsidRPr="00446A8E" w:rsidRDefault="00E0606D" w:rsidP="00E0606D">
      <w:pPr>
        <w:spacing w:line="276" w:lineRule="auto"/>
      </w:pPr>
      <w:r w:rsidRPr="00446A8E">
        <w:rPr>
          <w:b/>
        </w:rPr>
        <w:t xml:space="preserve">Zeichen: </w:t>
      </w:r>
      <w:r>
        <w:t>1237</w:t>
      </w:r>
      <w:r w:rsidRPr="00446A8E">
        <w:t>(mit Leerzeichen)</w:t>
      </w:r>
    </w:p>
    <w:p w:rsidR="00E0606D" w:rsidRPr="002207B5" w:rsidRDefault="00E0606D" w:rsidP="00E0606D">
      <w:pPr>
        <w:spacing w:line="276" w:lineRule="auto"/>
        <w:rPr>
          <w:rFonts w:cs="Arial"/>
          <w:bCs/>
        </w:rPr>
      </w:pPr>
      <w:r w:rsidRPr="002207B5">
        <w:rPr>
          <w:rFonts w:cs="Arial"/>
          <w:b/>
          <w:bCs/>
        </w:rPr>
        <w:t xml:space="preserve">Bild: </w:t>
      </w:r>
      <w:r w:rsidRPr="000B5E6C">
        <w:rPr>
          <w:rFonts w:cs="Arial"/>
          <w:bCs/>
        </w:rPr>
        <w:t>Spectra-</w:t>
      </w:r>
      <w:r w:rsidRPr="002207B5">
        <w:rPr>
          <w:rFonts w:cs="Arial"/>
          <w:bCs/>
        </w:rPr>
        <w:t>MS-98L2_</w:t>
      </w:r>
      <w:r>
        <w:rPr>
          <w:rFonts w:cs="Arial"/>
          <w:bCs/>
        </w:rPr>
        <w:t>Langzeitverfue</w:t>
      </w:r>
      <w:r w:rsidRPr="002207B5">
        <w:rPr>
          <w:rFonts w:cs="Arial"/>
          <w:bCs/>
        </w:rPr>
        <w:t>gbare-Micro-ATX-Boards.jpg</w:t>
      </w:r>
    </w:p>
    <w:p w:rsidR="00E0606D" w:rsidRPr="002207B5" w:rsidRDefault="00E0606D" w:rsidP="00E0606D">
      <w:pPr>
        <w:spacing w:line="276" w:lineRule="auto"/>
        <w:rPr>
          <w:rFonts w:cs="Arial"/>
          <w:bCs/>
        </w:rPr>
      </w:pPr>
    </w:p>
    <w:p w:rsidR="00E0606D" w:rsidRDefault="00E0606D" w:rsidP="00E0606D">
      <w:pPr>
        <w:spacing w:line="276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3355900" wp14:editId="70A439A0">
            <wp:simplePos x="0" y="0"/>
            <wp:positionH relativeFrom="column">
              <wp:posOffset>2454772</wp:posOffset>
            </wp:positionH>
            <wp:positionV relativeFrom="paragraph">
              <wp:posOffset>103366</wp:posOffset>
            </wp:positionV>
            <wp:extent cx="3490623" cy="2939531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0623" cy="2939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A59" w:rsidRDefault="00311A59" w:rsidP="00311A59">
      <w:pPr>
        <w:spacing w:line="276" w:lineRule="auto"/>
        <w:rPr>
          <w:b/>
        </w:rPr>
      </w:pPr>
      <w:bookmarkStart w:id="4" w:name="_GoBack"/>
      <w:bookmarkEnd w:id="4"/>
    </w:p>
    <w:p w:rsidR="00311A59" w:rsidRPr="00E65F6B" w:rsidRDefault="00311A59" w:rsidP="00311A59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311A59" w:rsidRPr="00E65F6B" w:rsidRDefault="00311A59" w:rsidP="00311A59">
      <w:pPr>
        <w:spacing w:line="276" w:lineRule="auto"/>
      </w:pPr>
      <w:r w:rsidRPr="00E65F6B">
        <w:t xml:space="preserve">Jacqueline Nedialkov </w:t>
      </w:r>
    </w:p>
    <w:p w:rsidR="00311A59" w:rsidRPr="00E65F6B" w:rsidRDefault="00311A59" w:rsidP="00311A59">
      <w:pPr>
        <w:spacing w:line="276" w:lineRule="auto"/>
      </w:pPr>
      <w:r>
        <w:t>Tel.: +49 (0) 7121 143</w:t>
      </w:r>
      <w:r w:rsidRPr="00E65F6B">
        <w:t>2</w:t>
      </w:r>
      <w:r>
        <w:t>-</w:t>
      </w:r>
      <w:r w:rsidRPr="00E65F6B">
        <w:t>132</w:t>
      </w:r>
    </w:p>
    <w:p w:rsidR="00311A59" w:rsidRPr="0049665C" w:rsidRDefault="00311A59" w:rsidP="00311A59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46384A" w:rsidRDefault="0046384A" w:rsidP="00E65F6B">
      <w:pPr>
        <w:spacing w:line="276" w:lineRule="auto"/>
      </w:pPr>
    </w:p>
    <w:p w:rsidR="0046384A" w:rsidRDefault="0046384A" w:rsidP="00E65F6B">
      <w:pPr>
        <w:spacing w:line="276" w:lineRule="auto"/>
      </w:pPr>
    </w:p>
    <w:p w:rsidR="0046384A" w:rsidRPr="006B22DF" w:rsidRDefault="0046384A" w:rsidP="0046384A">
      <w:pPr>
        <w:widowControl w:val="0"/>
        <w:autoSpaceDE w:val="0"/>
        <w:autoSpaceDN w:val="0"/>
        <w:adjustRightInd w:val="0"/>
        <w:spacing w:before="10"/>
        <w:rPr>
          <w:b/>
        </w:rPr>
      </w:pPr>
      <w:r w:rsidRPr="006B22DF">
        <w:rPr>
          <w:b/>
        </w:rPr>
        <w:t xml:space="preserve">Ansprechpartner Vertrieb: </w:t>
      </w:r>
    </w:p>
    <w:p w:rsidR="0046384A" w:rsidRPr="00DB2158" w:rsidRDefault="0046384A" w:rsidP="0046384A">
      <w:pPr>
        <w:widowControl w:val="0"/>
        <w:autoSpaceDE w:val="0"/>
        <w:autoSpaceDN w:val="0"/>
        <w:adjustRightInd w:val="0"/>
        <w:spacing w:before="10"/>
        <w:rPr>
          <w:lang w:val="en-US"/>
        </w:rPr>
      </w:pPr>
      <w:r w:rsidRPr="00DB2158">
        <w:rPr>
          <w:lang w:val="en-US"/>
        </w:rPr>
        <w:t xml:space="preserve">Alexander </w:t>
      </w:r>
      <w:proofErr w:type="spellStart"/>
      <w:r w:rsidRPr="00DB2158">
        <w:rPr>
          <w:lang w:val="en-US"/>
        </w:rPr>
        <w:t>Einzinger</w:t>
      </w:r>
      <w:proofErr w:type="spellEnd"/>
    </w:p>
    <w:p w:rsidR="0046384A" w:rsidRPr="00DB2158" w:rsidRDefault="0046384A" w:rsidP="0046384A">
      <w:pPr>
        <w:widowControl w:val="0"/>
        <w:autoSpaceDE w:val="0"/>
        <w:autoSpaceDN w:val="0"/>
        <w:adjustRightInd w:val="0"/>
        <w:spacing w:before="10"/>
        <w:rPr>
          <w:lang w:val="en-US"/>
        </w:rPr>
      </w:pPr>
      <w:r w:rsidRPr="00DB2158">
        <w:rPr>
          <w:lang w:val="en-US"/>
        </w:rPr>
        <w:t>info@spectra-austria.at</w:t>
      </w:r>
    </w:p>
    <w:p w:rsidR="0046384A" w:rsidRPr="006B22DF" w:rsidRDefault="0046384A" w:rsidP="0046384A">
      <w:r w:rsidRPr="006B22DF">
        <w:t>Tel. +43 (0) 72 40-201 90</w:t>
      </w:r>
    </w:p>
    <w:p w:rsidR="0046384A" w:rsidRPr="0049665C" w:rsidRDefault="0046384A" w:rsidP="00E65F6B">
      <w:pPr>
        <w:spacing w:line="276" w:lineRule="auto"/>
      </w:pPr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bookmarkEnd w:id="3"/>
    <w:p w:rsidR="00A475FD" w:rsidRPr="00A475FD" w:rsidRDefault="00A475FD" w:rsidP="00A475FD">
      <w:pPr>
        <w:rPr>
          <w:color w:val="333399"/>
        </w:rPr>
      </w:pPr>
    </w:p>
    <w:sectPr w:rsidR="00A475FD" w:rsidRPr="00A475FD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50" w:rsidRDefault="00CE1850" w:rsidP="00E65F6B">
      <w:r>
        <w:separator/>
      </w:r>
    </w:p>
  </w:endnote>
  <w:endnote w:type="continuationSeparator" w:id="0">
    <w:p w:rsidR="00CE1850" w:rsidRDefault="00CE1850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384A" w:rsidRPr="00446A8E" w:rsidRDefault="0046384A" w:rsidP="0046384A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DE178D">
                            <w:rPr>
                              <w:color w:val="FFFFFF" w:themeColor="background1"/>
                            </w:rPr>
                            <w:t xml:space="preserve">Spectra GmbH &amp; Co. 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>KG | Niederlassung Österreich | Gewerbepark Ost 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A-4621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Sipbachzell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 xml:space="preserve"> (Wels)</w:t>
                          </w:r>
                        </w:p>
                        <w:p w:rsidR="0046384A" w:rsidRPr="00DA0626" w:rsidRDefault="0046384A" w:rsidP="0046384A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+43 (0) 7240 201 90 | </w:t>
                          </w:r>
                          <w:hyperlink r:id="rId1" w:history="1">
                            <w:r w:rsidRPr="006B22DF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info@spectra-austria.at</w:t>
                            </w:r>
                          </w:hyperlink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Pr="006B22DF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www.spectra-austria.at</w:t>
                            </w:r>
                          </w:hyperlink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46384A" w:rsidRPr="00446A8E" w:rsidRDefault="0046384A" w:rsidP="0046384A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DE178D">
                      <w:rPr>
                        <w:color w:val="FFFFFF" w:themeColor="background1"/>
                      </w:rPr>
                      <w:t xml:space="preserve">Spectra GmbH &amp; Co. </w:t>
                    </w:r>
                    <w:r w:rsidRPr="006B22DF">
                      <w:rPr>
                        <w:color w:val="FFFFFF" w:themeColor="background1"/>
                      </w:rPr>
                      <w:t>KG | Niederlassung Österreich | Gewerbepark Ost 1</w:t>
                    </w:r>
                    <w:r>
                      <w:rPr>
                        <w:color w:val="FFFFFF" w:themeColor="background1"/>
                      </w:rPr>
                      <w:t xml:space="preserve"> | A-4621 </w:t>
                    </w:r>
                    <w:proofErr w:type="spellStart"/>
                    <w:r>
                      <w:rPr>
                        <w:color w:val="FFFFFF" w:themeColor="background1"/>
                      </w:rPr>
                      <w:t>Sipbachzell</w:t>
                    </w:r>
                    <w:proofErr w:type="spellEnd"/>
                    <w:r>
                      <w:rPr>
                        <w:color w:val="FFFFFF" w:themeColor="background1"/>
                      </w:rPr>
                      <w:t xml:space="preserve"> (Wels)</w:t>
                    </w:r>
                  </w:p>
                  <w:p w:rsidR="0046384A" w:rsidRPr="00DA0626" w:rsidRDefault="0046384A" w:rsidP="0046384A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+43 (0) 7240 201 90 | </w:t>
                    </w:r>
                    <w:hyperlink r:id="rId3" w:history="1">
                      <w:r w:rsidRPr="006B22DF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info@spectra-austria.at</w:t>
                      </w:r>
                    </w:hyperlink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Pr="006B22DF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www.spectra-austria.at</w:t>
                      </w:r>
                    </w:hyperlink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50" w:rsidRDefault="00CE1850" w:rsidP="00E65F6B">
      <w:r>
        <w:separator/>
      </w:r>
    </w:p>
  </w:footnote>
  <w:footnote w:type="continuationSeparator" w:id="0">
    <w:p w:rsidR="00CE1850" w:rsidRDefault="00CE1850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915E8"/>
    <w:rsid w:val="00092C84"/>
    <w:rsid w:val="000A0331"/>
    <w:rsid w:val="000A043D"/>
    <w:rsid w:val="000B0144"/>
    <w:rsid w:val="000D57B7"/>
    <w:rsid w:val="000F09E0"/>
    <w:rsid w:val="000F0D91"/>
    <w:rsid w:val="00143CCC"/>
    <w:rsid w:val="00167E32"/>
    <w:rsid w:val="001A2722"/>
    <w:rsid w:val="001D049B"/>
    <w:rsid w:val="00233036"/>
    <w:rsid w:val="00257A54"/>
    <w:rsid w:val="00264538"/>
    <w:rsid w:val="0028307F"/>
    <w:rsid w:val="00297011"/>
    <w:rsid w:val="002A60D6"/>
    <w:rsid w:val="002E1BFE"/>
    <w:rsid w:val="002F2A23"/>
    <w:rsid w:val="002F49B8"/>
    <w:rsid w:val="00311118"/>
    <w:rsid w:val="00311A59"/>
    <w:rsid w:val="00317556"/>
    <w:rsid w:val="00341B95"/>
    <w:rsid w:val="00342DC3"/>
    <w:rsid w:val="00353149"/>
    <w:rsid w:val="003559B8"/>
    <w:rsid w:val="003727D7"/>
    <w:rsid w:val="003C4F26"/>
    <w:rsid w:val="003D22DC"/>
    <w:rsid w:val="003E1362"/>
    <w:rsid w:val="00446A8E"/>
    <w:rsid w:val="0046384A"/>
    <w:rsid w:val="00470000"/>
    <w:rsid w:val="00487FA0"/>
    <w:rsid w:val="0049665C"/>
    <w:rsid w:val="004B790A"/>
    <w:rsid w:val="004D0EA5"/>
    <w:rsid w:val="004E4532"/>
    <w:rsid w:val="005231DA"/>
    <w:rsid w:val="00544AF7"/>
    <w:rsid w:val="00545D67"/>
    <w:rsid w:val="005550D2"/>
    <w:rsid w:val="005712CA"/>
    <w:rsid w:val="005B7B8E"/>
    <w:rsid w:val="005E1679"/>
    <w:rsid w:val="005E4E04"/>
    <w:rsid w:val="005F7CD2"/>
    <w:rsid w:val="005F7E3B"/>
    <w:rsid w:val="00631D72"/>
    <w:rsid w:val="00651987"/>
    <w:rsid w:val="00686EA8"/>
    <w:rsid w:val="00694001"/>
    <w:rsid w:val="006B0E0A"/>
    <w:rsid w:val="007005AD"/>
    <w:rsid w:val="00723896"/>
    <w:rsid w:val="0074665B"/>
    <w:rsid w:val="007B0D4A"/>
    <w:rsid w:val="007C096A"/>
    <w:rsid w:val="008001E2"/>
    <w:rsid w:val="00814E67"/>
    <w:rsid w:val="008867D2"/>
    <w:rsid w:val="008A4B7C"/>
    <w:rsid w:val="008D3934"/>
    <w:rsid w:val="008F6DF5"/>
    <w:rsid w:val="00905825"/>
    <w:rsid w:val="009140CB"/>
    <w:rsid w:val="00926020"/>
    <w:rsid w:val="00932DEB"/>
    <w:rsid w:val="009710BF"/>
    <w:rsid w:val="009C2613"/>
    <w:rsid w:val="009C2CF6"/>
    <w:rsid w:val="009C5C9D"/>
    <w:rsid w:val="009F62AD"/>
    <w:rsid w:val="00A017C6"/>
    <w:rsid w:val="00A01BB5"/>
    <w:rsid w:val="00A21056"/>
    <w:rsid w:val="00A32A30"/>
    <w:rsid w:val="00A475FD"/>
    <w:rsid w:val="00A5084C"/>
    <w:rsid w:val="00AA20B2"/>
    <w:rsid w:val="00AA5D60"/>
    <w:rsid w:val="00AF1ACC"/>
    <w:rsid w:val="00B26507"/>
    <w:rsid w:val="00B33BFB"/>
    <w:rsid w:val="00BB7F42"/>
    <w:rsid w:val="00C47C54"/>
    <w:rsid w:val="00C74C9E"/>
    <w:rsid w:val="00CA05DE"/>
    <w:rsid w:val="00CB5BBD"/>
    <w:rsid w:val="00CC37D1"/>
    <w:rsid w:val="00CE1850"/>
    <w:rsid w:val="00D003CB"/>
    <w:rsid w:val="00D1025C"/>
    <w:rsid w:val="00D1358D"/>
    <w:rsid w:val="00D166B3"/>
    <w:rsid w:val="00D24E49"/>
    <w:rsid w:val="00D65C3E"/>
    <w:rsid w:val="00D7476E"/>
    <w:rsid w:val="00DA0626"/>
    <w:rsid w:val="00DB2158"/>
    <w:rsid w:val="00DB4A82"/>
    <w:rsid w:val="00DC4187"/>
    <w:rsid w:val="00DE256B"/>
    <w:rsid w:val="00DF2606"/>
    <w:rsid w:val="00DF62C7"/>
    <w:rsid w:val="00E02217"/>
    <w:rsid w:val="00E04191"/>
    <w:rsid w:val="00E0606D"/>
    <w:rsid w:val="00E17438"/>
    <w:rsid w:val="00E226C8"/>
    <w:rsid w:val="00E247CB"/>
    <w:rsid w:val="00E27DEB"/>
    <w:rsid w:val="00E65F6B"/>
    <w:rsid w:val="00EB39E3"/>
    <w:rsid w:val="00F55020"/>
    <w:rsid w:val="00F64FBB"/>
    <w:rsid w:val="00FC5898"/>
    <w:rsid w:val="00FD1E27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-austria.at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-austria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8C29CD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1428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1615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2019-06-04T14:42:00Z</cp:lastPrinted>
  <dcterms:created xsi:type="dcterms:W3CDTF">2019-08-27T06:59:00Z</dcterms:created>
  <dcterms:modified xsi:type="dcterms:W3CDTF">2019-08-27T06:59:00Z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