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DE178D" w:rsidRPr="00143CCC" w:rsidRDefault="00DE178D" w:rsidP="00DE178D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DE178D" w:rsidRPr="00143CCC" w:rsidRDefault="00DE178D" w:rsidP="00DE178D">
      <w:pPr>
        <w:rPr>
          <w:rFonts w:ascii="Arial Black" w:hAnsi="Arial Black"/>
          <w:bCs/>
          <w:smallCaps/>
          <w:color w:val="808080"/>
          <w:sz w:val="32"/>
        </w:rPr>
      </w:pPr>
    </w:p>
    <w:p w:rsidR="00DE178D" w:rsidRPr="00446A8E" w:rsidRDefault="00DE178D" w:rsidP="00DE178D">
      <w:r w:rsidRPr="00B81FD8">
        <w:t>MS-98E1-C236</w:t>
      </w:r>
      <w:r w:rsidRPr="00446A8E">
        <w:t>:</w:t>
      </w:r>
      <w:r>
        <w:t xml:space="preserve"> Mini-ITX Board </w:t>
      </w:r>
    </w:p>
    <w:p w:rsidR="00DE178D" w:rsidRPr="00446A8E" w:rsidRDefault="00DE178D" w:rsidP="00DE178D"/>
    <w:p w:rsidR="00DE178D" w:rsidRDefault="00DE178D" w:rsidP="00DE178D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Ihre Daten in sicheren Händen</w:t>
      </w:r>
      <w:r w:rsidRPr="000640EF">
        <w:rPr>
          <w:b/>
          <w:color w:val="00509F"/>
          <w:sz w:val="24"/>
          <w:szCs w:val="24"/>
        </w:rPr>
        <w:br/>
      </w:r>
    </w:p>
    <w:p w:rsidR="00DE178D" w:rsidRPr="00244543" w:rsidRDefault="00DE178D" w:rsidP="00DE178D">
      <w:pPr>
        <w:spacing w:line="276" w:lineRule="auto"/>
      </w:pPr>
      <w:r>
        <w:t xml:space="preserve">Bei Kassensystemen, Geld- oder Fahrkartenautomaten ist der Schutz der Transaktionsdaten besonders wichtig. Für diese Anwendungen ist das Mini-ITX Board </w:t>
      </w:r>
      <w:r w:rsidRPr="00631FF9">
        <w:rPr>
          <w:b/>
        </w:rPr>
        <w:t>MS-98E1</w:t>
      </w:r>
      <w:r>
        <w:rPr>
          <w:b/>
        </w:rPr>
        <w:t xml:space="preserve"> </w:t>
      </w:r>
      <w:r>
        <w:t xml:space="preserve">von Spectra besonders geeignet. Dieses Board kann über einen TPM-Sockel mit einem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Modul (TPM) erweitert werden. Diese Erweiterung bietet grundlegende Sicherheitsfunktionen. </w:t>
      </w:r>
      <w:r w:rsidRPr="00FA49A5">
        <w:t>Ein Gerät mit TPM, speziell angepas</w:t>
      </w:r>
      <w:r w:rsidRPr="00FA49A5">
        <w:t>s</w:t>
      </w:r>
      <w:r w:rsidRPr="00FA49A5">
        <w:t>tem Betriebssystem und entsprechender Software bilde</w:t>
      </w:r>
      <w:r>
        <w:t>n</w:t>
      </w:r>
      <w:r w:rsidRPr="00FA49A5">
        <w:t xml:space="preserve"> zusammen eine </w:t>
      </w:r>
      <w:proofErr w:type="spellStart"/>
      <w:r w:rsidRPr="00FA49A5">
        <w:t>Trusted</w:t>
      </w:r>
      <w:proofErr w:type="spellEnd"/>
      <w:r w:rsidRPr="00FA49A5">
        <w:t xml:space="preserve"> Compu</w:t>
      </w:r>
      <w:r>
        <w:t xml:space="preserve">ting </w:t>
      </w:r>
      <w:proofErr w:type="spellStart"/>
      <w:r>
        <w:t>Pla</w:t>
      </w:r>
      <w:r w:rsidRPr="00FA49A5">
        <w:t>t</w:t>
      </w:r>
      <w:r>
        <w:t>form</w:t>
      </w:r>
      <w:proofErr w:type="spellEnd"/>
      <w:r>
        <w:t xml:space="preserve"> (TC-</w:t>
      </w:r>
      <w:proofErr w:type="spellStart"/>
      <w:r>
        <w:t>Pla</w:t>
      </w:r>
      <w:r w:rsidRPr="00FA49A5">
        <w:t>tform</w:t>
      </w:r>
      <w:proofErr w:type="spellEnd"/>
      <w:r w:rsidRPr="00FA49A5">
        <w:t xml:space="preserve">). </w:t>
      </w:r>
      <w:r>
        <w:t>Unbefugten Dritten wird somit der Zugang zu sensiblen Daten verwehrt. Ein weiteres S</w:t>
      </w:r>
      <w:r>
        <w:t>i</w:t>
      </w:r>
      <w:r>
        <w:t xml:space="preserve">cherheitsfeature bietet die ECC (Error </w:t>
      </w:r>
      <w:proofErr w:type="spellStart"/>
      <w:r>
        <w:t>correcting</w:t>
      </w:r>
      <w:proofErr w:type="spellEnd"/>
      <w:r>
        <w:t xml:space="preserve"> </w:t>
      </w:r>
      <w:proofErr w:type="spellStart"/>
      <w:r>
        <w:t>code</w:t>
      </w:r>
      <w:proofErr w:type="spellEnd"/>
      <w:r>
        <w:t>) Speicherfunktion. Sie erkennt Datenverfä</w:t>
      </w:r>
      <w:r>
        <w:t>l</w:t>
      </w:r>
      <w:r>
        <w:t xml:space="preserve">schung zwischen Arbeitsspeicher und Prozessor und korrigiert diese automatisch. Der hochmoderne </w:t>
      </w:r>
      <w:r w:rsidRPr="00D3740B">
        <w:rPr>
          <w:rFonts w:eastAsiaTheme="minorHAnsi" w:cs="Arial"/>
          <w:color w:val="000000"/>
        </w:rPr>
        <w:t>Intel</w:t>
      </w:r>
      <w:r>
        <w:rPr>
          <w:rFonts w:eastAsiaTheme="minorHAnsi" w:cs="Arial"/>
          <w:color w:val="000000"/>
          <w:sz w:val="18"/>
          <w:szCs w:val="18"/>
          <w:vertAlign w:val="superscript"/>
        </w:rPr>
        <w:t xml:space="preserve">® </w:t>
      </w:r>
      <w:proofErr w:type="spellStart"/>
      <w:r>
        <w:t>Skylake</w:t>
      </w:r>
      <w:proofErr w:type="spellEnd"/>
      <w:r>
        <w:t xml:space="preserve"> Prozessor bietet in Verbindung mit dem </w:t>
      </w:r>
      <w:r w:rsidRPr="00D3740B">
        <w:rPr>
          <w:rFonts w:eastAsiaTheme="minorHAnsi" w:cs="Arial"/>
          <w:color w:val="000000"/>
        </w:rPr>
        <w:t>Intel</w:t>
      </w:r>
      <w:r>
        <w:rPr>
          <w:rFonts w:eastAsiaTheme="minorHAnsi" w:cs="Arial"/>
          <w:color w:val="000000"/>
          <w:sz w:val="18"/>
          <w:szCs w:val="18"/>
          <w:vertAlign w:val="superscript"/>
        </w:rPr>
        <w:t xml:space="preserve">® </w:t>
      </w:r>
      <w:r w:rsidRPr="00244543">
        <w:rPr>
          <w:rFonts w:eastAsiaTheme="minorHAnsi" w:cs="Arial"/>
          <w:color w:val="000000"/>
        </w:rPr>
        <w:t>C236</w:t>
      </w:r>
      <w:r>
        <w:rPr>
          <w:rFonts w:eastAsiaTheme="minorHAnsi" w:cs="Arial"/>
          <w:color w:val="000000"/>
          <w:sz w:val="18"/>
          <w:szCs w:val="18"/>
        </w:rPr>
        <w:t xml:space="preserve"> </w:t>
      </w:r>
      <w:r>
        <w:rPr>
          <w:rFonts w:eastAsiaTheme="minorHAnsi" w:cs="Arial"/>
          <w:color w:val="000000"/>
        </w:rPr>
        <w:t>Serverchipsatz eine hohe Rechenlei</w:t>
      </w:r>
      <w:r>
        <w:rPr>
          <w:rFonts w:eastAsiaTheme="minorHAnsi" w:cs="Arial"/>
          <w:color w:val="000000"/>
        </w:rPr>
        <w:t>s</w:t>
      </w:r>
      <w:r>
        <w:rPr>
          <w:rFonts w:eastAsiaTheme="minorHAnsi" w:cs="Arial"/>
          <w:color w:val="000000"/>
        </w:rPr>
        <w:t xml:space="preserve">tung. </w:t>
      </w:r>
      <w:r>
        <w:t>Große Schreib- und Lesegeschwindigkeiten werden durch vier SATA 3.0 Ports unterstützt.</w:t>
      </w:r>
    </w:p>
    <w:p w:rsidR="00DE178D" w:rsidRDefault="00DE178D" w:rsidP="00DE178D">
      <w:pPr>
        <w:spacing w:line="276" w:lineRule="auto"/>
      </w:pPr>
      <w:r>
        <w:t xml:space="preserve">Für den Anschluss weiterer Peripheriegeräte, wie z.B. Display, Tastenfeld oder Scanner stellt das MS-98E1 multiple Video-Ausgänge für 3 unabhängige Displays sowie zahlreiche USB- und COM-Schnittstellen zur Verfügung. Ältere Eingabesysteme können über PS/2 angeschlossen werden.  </w:t>
      </w:r>
    </w:p>
    <w:p w:rsidR="00DE178D" w:rsidRDefault="00DE178D" w:rsidP="00DE178D">
      <w:pPr>
        <w:spacing w:line="276" w:lineRule="auto"/>
      </w:pPr>
    </w:p>
    <w:p w:rsidR="00DE178D" w:rsidRDefault="00DE178D" w:rsidP="00DE178D">
      <w:pPr>
        <w:spacing w:line="276" w:lineRule="auto"/>
      </w:pPr>
    </w:p>
    <w:p w:rsidR="00DE178D" w:rsidRPr="00446A8E" w:rsidRDefault="00DE178D" w:rsidP="00DE178D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69BF89" wp14:editId="14E5A358">
            <wp:simplePos x="0" y="0"/>
            <wp:positionH relativeFrom="column">
              <wp:posOffset>2753995</wp:posOffset>
            </wp:positionH>
            <wp:positionV relativeFrom="paragraph">
              <wp:posOffset>114935</wp:posOffset>
            </wp:positionV>
            <wp:extent cx="3007680" cy="20828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MS-98E1_Mini-ITX-Board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68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GoBack"/>
      <w:bookmarkEnd w:id="4"/>
      <w:r w:rsidRPr="00446A8E">
        <w:rPr>
          <w:b/>
        </w:rPr>
        <w:t>Wörter:</w:t>
      </w:r>
      <w:r w:rsidRPr="00446A8E">
        <w:t xml:space="preserve">   </w:t>
      </w:r>
      <w:r>
        <w:t>157</w:t>
      </w:r>
    </w:p>
    <w:p w:rsidR="00DE178D" w:rsidRPr="00446A8E" w:rsidRDefault="00DE178D" w:rsidP="00DE178D">
      <w:pPr>
        <w:spacing w:line="276" w:lineRule="auto"/>
      </w:pPr>
      <w:r w:rsidRPr="00446A8E">
        <w:rPr>
          <w:b/>
        </w:rPr>
        <w:t xml:space="preserve">Zeichen: </w:t>
      </w:r>
      <w:r>
        <w:t>1276</w:t>
      </w:r>
      <w:r w:rsidRPr="00446A8E">
        <w:t xml:space="preserve"> (mit Leerzeichen)</w:t>
      </w:r>
      <w:r w:rsidRPr="001F196A">
        <w:rPr>
          <w:noProof/>
        </w:rPr>
        <w:t xml:space="preserve"> </w:t>
      </w:r>
    </w:p>
    <w:p w:rsidR="00DE178D" w:rsidRDefault="00DE178D" w:rsidP="00DE178D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 xml:space="preserve">Bild: </w:t>
      </w:r>
      <w:r w:rsidRPr="0090150F">
        <w:rPr>
          <w:rFonts w:cs="Arial"/>
          <w:bCs/>
        </w:rPr>
        <w:t>Spectra-MS-98E1_Mini-ITX-Board.jpg</w:t>
      </w:r>
    </w:p>
    <w:p w:rsidR="00DE178D" w:rsidRDefault="00DE178D" w:rsidP="00DE178D">
      <w:pPr>
        <w:spacing w:line="276" w:lineRule="auto"/>
        <w:rPr>
          <w:rFonts w:cs="Arial"/>
          <w:bCs/>
        </w:rPr>
      </w:pP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6B22DF">
        <w:t>Alexander Einzinger</w:t>
      </w: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6B22DF"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E178D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1664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2017-03-28T09:40:00Z</cp:lastPrinted>
  <dcterms:created xsi:type="dcterms:W3CDTF">2017-04-11T07:14:00Z</dcterms:created>
  <dcterms:modified xsi:type="dcterms:W3CDTF">2017-04-11T07:14:00Z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